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E6B" w:rsidRPr="00161C60" w:rsidRDefault="00E13E6B" w:rsidP="00161C60">
      <w:pPr>
        <w:ind w:left="2835" w:right="1843" w:hanging="992"/>
        <w:jc w:val="both"/>
        <w:rPr>
          <w:rFonts w:ascii="Tahoma" w:hAnsi="Tahoma" w:cs="Tahoma"/>
          <w:i/>
          <w:sz w:val="16"/>
          <w:szCs w:val="16"/>
        </w:rPr>
      </w:pPr>
      <w:r w:rsidRPr="00161C60">
        <w:rPr>
          <w:rFonts w:ascii="Tahoma" w:hAnsi="Tahoma" w:cs="Tahoma"/>
          <w:b/>
          <w:i/>
          <w:sz w:val="16"/>
          <w:szCs w:val="16"/>
        </w:rPr>
        <w:t xml:space="preserve">Sumilla: </w:t>
      </w:r>
      <w:r w:rsidR="00214D5E" w:rsidRPr="00161C60">
        <w:rPr>
          <w:rFonts w:ascii="Tahoma" w:hAnsi="Tahoma" w:cs="Tahoma"/>
          <w:b/>
          <w:i/>
          <w:sz w:val="16"/>
          <w:szCs w:val="16"/>
        </w:rPr>
        <w:t xml:space="preserve">     </w:t>
      </w:r>
      <w:r w:rsidR="00635F2E" w:rsidRPr="00161C60">
        <w:rPr>
          <w:rFonts w:ascii="Tahoma" w:hAnsi="Tahoma" w:cs="Tahoma"/>
          <w:b/>
          <w:i/>
          <w:sz w:val="16"/>
          <w:szCs w:val="16"/>
        </w:rPr>
        <w:t>“</w:t>
      </w:r>
      <w:r w:rsidR="00FF6B17" w:rsidRPr="00161C60">
        <w:rPr>
          <w:rFonts w:ascii="Tahoma" w:hAnsi="Tahoma" w:cs="Tahoma"/>
          <w:i/>
          <w:sz w:val="16"/>
          <w:szCs w:val="16"/>
        </w:rPr>
        <w:t>Al respecto, la infracción tipificada en el literal b) del numeral 51.1 del artículo 51 de la Ley en concordancia con el literal b) del numeral 1) del artículo 237 del Reglamento establece como supuesto de hecho indispensable para su configuración, la resolución del contrato, orden de compra o de servicios, según corresponda, por cau</w:t>
      </w:r>
      <w:r w:rsidR="00161C60">
        <w:rPr>
          <w:rFonts w:ascii="Tahoma" w:hAnsi="Tahoma" w:cs="Tahoma"/>
          <w:i/>
          <w:sz w:val="16"/>
          <w:szCs w:val="16"/>
        </w:rPr>
        <w:t>sal atribuible a la Contratista</w:t>
      </w:r>
      <w:r w:rsidR="00635F2E" w:rsidRPr="00161C60">
        <w:rPr>
          <w:rFonts w:ascii="Tahoma" w:hAnsi="Tahoma" w:cs="Tahoma"/>
          <w:i/>
          <w:sz w:val="16"/>
          <w:szCs w:val="16"/>
        </w:rPr>
        <w:t>”.</w:t>
      </w:r>
    </w:p>
    <w:p w:rsidR="00E13E6B" w:rsidRPr="00161C60" w:rsidRDefault="00E13E6B" w:rsidP="00161C60">
      <w:pPr>
        <w:ind w:left="2268" w:right="1843"/>
        <w:jc w:val="both"/>
        <w:rPr>
          <w:rFonts w:ascii="Tahoma" w:hAnsi="Tahoma" w:cs="Tahoma"/>
          <w:b/>
          <w:i/>
          <w:sz w:val="20"/>
          <w:szCs w:val="20"/>
          <w:highlight w:val="yellow"/>
        </w:rPr>
      </w:pPr>
    </w:p>
    <w:p w:rsidR="00E13E6B" w:rsidRPr="00161C60" w:rsidRDefault="00E13E6B" w:rsidP="00161C60">
      <w:pPr>
        <w:pStyle w:val="Textoindependiente3"/>
        <w:ind w:left="4956" w:firstLine="708"/>
        <w:jc w:val="both"/>
        <w:rPr>
          <w:rFonts w:ascii="Tahoma" w:hAnsi="Tahoma" w:cs="Tahoma"/>
        </w:rPr>
      </w:pPr>
      <w:r w:rsidRPr="00161C60">
        <w:rPr>
          <w:rFonts w:ascii="Tahoma" w:hAnsi="Tahoma" w:cs="Tahoma"/>
        </w:rPr>
        <w:t xml:space="preserve">Lima, </w:t>
      </w:r>
      <w:r w:rsidR="00DB3E05">
        <w:rPr>
          <w:rFonts w:ascii="Tahoma" w:hAnsi="Tahoma" w:cs="Tahoma"/>
        </w:rPr>
        <w:t>18 de Marzo de 2011</w:t>
      </w:r>
    </w:p>
    <w:p w:rsidR="00E13E6B" w:rsidRPr="00161C60" w:rsidRDefault="00E13E6B" w:rsidP="00161C60">
      <w:pPr>
        <w:pStyle w:val="Textoindependiente3"/>
        <w:jc w:val="both"/>
        <w:rPr>
          <w:rFonts w:ascii="Tahoma" w:hAnsi="Tahoma" w:cs="Tahoma"/>
          <w:b w:val="0"/>
          <w:lang w:val="es-ES"/>
        </w:rPr>
      </w:pPr>
    </w:p>
    <w:p w:rsidR="00E13E6B" w:rsidRPr="00161C60" w:rsidRDefault="00E13E6B" w:rsidP="00161C60">
      <w:pPr>
        <w:ind w:firstLine="708"/>
        <w:jc w:val="both"/>
        <w:rPr>
          <w:rFonts w:ascii="Tahoma" w:hAnsi="Tahoma" w:cs="Tahoma"/>
          <w:sz w:val="20"/>
          <w:szCs w:val="20"/>
        </w:rPr>
      </w:pPr>
      <w:r w:rsidRPr="00161C60">
        <w:rPr>
          <w:rFonts w:ascii="Tahoma" w:hAnsi="Tahoma" w:cs="Tahoma"/>
          <w:b/>
          <w:sz w:val="20"/>
          <w:szCs w:val="20"/>
        </w:rPr>
        <w:t>VISTO,</w:t>
      </w:r>
      <w:r w:rsidRPr="00161C60">
        <w:rPr>
          <w:rFonts w:ascii="Tahoma" w:hAnsi="Tahoma" w:cs="Tahoma"/>
          <w:sz w:val="20"/>
          <w:szCs w:val="20"/>
        </w:rPr>
        <w:t xml:space="preserve"> en sesión de fecha </w:t>
      </w:r>
      <w:r w:rsidR="00214D5E" w:rsidRPr="00161C60">
        <w:rPr>
          <w:rFonts w:ascii="Tahoma" w:hAnsi="Tahoma" w:cs="Tahoma"/>
          <w:sz w:val="20"/>
          <w:szCs w:val="20"/>
        </w:rPr>
        <w:t>17 de marzo</w:t>
      </w:r>
      <w:r w:rsidR="00531D1E" w:rsidRPr="00161C60">
        <w:rPr>
          <w:rFonts w:ascii="Tahoma" w:hAnsi="Tahoma" w:cs="Tahoma"/>
          <w:sz w:val="20"/>
          <w:szCs w:val="20"/>
        </w:rPr>
        <w:t xml:space="preserve"> de 2011</w:t>
      </w:r>
      <w:r w:rsidRPr="00161C60">
        <w:rPr>
          <w:rFonts w:ascii="Tahoma" w:hAnsi="Tahoma" w:cs="Tahoma"/>
          <w:sz w:val="20"/>
          <w:szCs w:val="20"/>
        </w:rPr>
        <w:t xml:space="preserve"> de la </w:t>
      </w:r>
      <w:r w:rsidR="001776B6" w:rsidRPr="00161C60">
        <w:rPr>
          <w:rFonts w:ascii="Tahoma" w:hAnsi="Tahoma" w:cs="Tahoma"/>
          <w:sz w:val="20"/>
          <w:szCs w:val="20"/>
        </w:rPr>
        <w:t>Primera</w:t>
      </w:r>
      <w:r w:rsidRPr="00161C60">
        <w:rPr>
          <w:rFonts w:ascii="Tahoma" w:hAnsi="Tahoma" w:cs="Tahoma"/>
          <w:sz w:val="20"/>
          <w:szCs w:val="20"/>
        </w:rPr>
        <w:t xml:space="preserve"> Sala del Tribunal de Contrataciones del Estado el Expediente № </w:t>
      </w:r>
      <w:r w:rsidR="00161C60">
        <w:rPr>
          <w:rFonts w:ascii="Tahoma" w:hAnsi="Tahoma" w:cs="Tahoma"/>
          <w:sz w:val="20"/>
          <w:szCs w:val="20"/>
        </w:rPr>
        <w:t>1728</w:t>
      </w:r>
      <w:r w:rsidR="00531D1E" w:rsidRPr="00161C60">
        <w:rPr>
          <w:rFonts w:ascii="Tahoma" w:hAnsi="Tahoma" w:cs="Tahoma"/>
          <w:sz w:val="20"/>
          <w:szCs w:val="20"/>
        </w:rPr>
        <w:t>/20</w:t>
      </w:r>
      <w:r w:rsidR="00222218" w:rsidRPr="00161C60">
        <w:rPr>
          <w:rFonts w:ascii="Tahoma" w:hAnsi="Tahoma" w:cs="Tahoma"/>
          <w:sz w:val="20"/>
          <w:szCs w:val="20"/>
        </w:rPr>
        <w:t>10</w:t>
      </w:r>
      <w:r w:rsidRPr="00161C60">
        <w:rPr>
          <w:rFonts w:ascii="Tahoma" w:hAnsi="Tahoma" w:cs="Tahoma"/>
          <w:sz w:val="20"/>
          <w:szCs w:val="20"/>
        </w:rPr>
        <w:t>.TC, sobre procedimiento administrativo sancionador contra</w:t>
      </w:r>
      <w:r w:rsidR="00140241" w:rsidRPr="00161C60">
        <w:rPr>
          <w:rFonts w:ascii="Tahoma" w:hAnsi="Tahoma" w:cs="Tahoma"/>
          <w:sz w:val="20"/>
          <w:szCs w:val="20"/>
        </w:rPr>
        <w:t xml:space="preserve"> </w:t>
      </w:r>
      <w:r w:rsidR="00161C60" w:rsidRPr="00161C60">
        <w:rPr>
          <w:rFonts w:ascii="Tahoma" w:hAnsi="Tahoma" w:cs="Tahoma"/>
          <w:sz w:val="20"/>
          <w:szCs w:val="20"/>
        </w:rPr>
        <w:t>Consorcio conformado por la empresa INVERSIONES CHIRINOS E.I.R.L y la señora NORA ALVEZ LOMAS</w:t>
      </w:r>
      <w:r w:rsidR="00214D5E" w:rsidRPr="00161C60">
        <w:rPr>
          <w:rFonts w:ascii="Tahoma" w:hAnsi="Tahoma" w:cs="Tahoma"/>
          <w:sz w:val="20"/>
          <w:szCs w:val="20"/>
        </w:rPr>
        <w:t xml:space="preserve"> </w:t>
      </w:r>
      <w:r w:rsidRPr="00161C60">
        <w:rPr>
          <w:rFonts w:ascii="Tahoma" w:hAnsi="Tahoma" w:cs="Tahoma"/>
          <w:sz w:val="20"/>
          <w:szCs w:val="20"/>
        </w:rPr>
        <w:t xml:space="preserve">por supuesta responsabilidad en la resolución </w:t>
      </w:r>
      <w:r w:rsidR="00E964AA" w:rsidRPr="00161C60">
        <w:rPr>
          <w:rFonts w:ascii="Tahoma" w:hAnsi="Tahoma" w:cs="Tahoma"/>
          <w:sz w:val="20"/>
          <w:szCs w:val="20"/>
        </w:rPr>
        <w:t>de</w:t>
      </w:r>
      <w:r w:rsidR="00214D5E" w:rsidRPr="00161C60">
        <w:rPr>
          <w:rFonts w:ascii="Tahoma" w:hAnsi="Tahoma" w:cs="Tahoma"/>
          <w:sz w:val="20"/>
          <w:szCs w:val="20"/>
        </w:rPr>
        <w:t>l</w:t>
      </w:r>
      <w:r w:rsidR="00E964AA" w:rsidRPr="00161C60">
        <w:rPr>
          <w:rFonts w:ascii="Tahoma" w:hAnsi="Tahoma" w:cs="Tahoma"/>
          <w:sz w:val="20"/>
          <w:szCs w:val="20"/>
        </w:rPr>
        <w:t xml:space="preserve"> </w:t>
      </w:r>
      <w:r w:rsidR="00161C60" w:rsidRPr="00161C60">
        <w:rPr>
          <w:rFonts w:ascii="Tahoma" w:hAnsi="Tahoma" w:cs="Tahoma"/>
          <w:sz w:val="20"/>
          <w:szCs w:val="20"/>
        </w:rPr>
        <w:t>Contrato № 005-2010-RMO</w:t>
      </w:r>
      <w:r w:rsidR="00214D5E" w:rsidRPr="00161C60">
        <w:rPr>
          <w:rFonts w:ascii="Tahoma" w:hAnsi="Tahoma" w:cs="Tahoma"/>
          <w:sz w:val="20"/>
          <w:szCs w:val="20"/>
        </w:rPr>
        <w:t xml:space="preserve"> </w:t>
      </w:r>
      <w:r w:rsidR="00822C2F" w:rsidRPr="00161C60">
        <w:rPr>
          <w:rFonts w:ascii="Tahoma" w:hAnsi="Tahoma" w:cs="Tahoma"/>
          <w:sz w:val="20"/>
          <w:szCs w:val="20"/>
        </w:rPr>
        <w:t xml:space="preserve">por causa atribuible </w:t>
      </w:r>
      <w:r w:rsidR="006B668D">
        <w:rPr>
          <w:rFonts w:ascii="Tahoma" w:hAnsi="Tahoma" w:cs="Tahoma"/>
          <w:sz w:val="20"/>
          <w:szCs w:val="20"/>
        </w:rPr>
        <w:t>a su parte, derivado</w:t>
      </w:r>
      <w:r w:rsidR="000B0A8A" w:rsidRPr="00161C60">
        <w:rPr>
          <w:rFonts w:ascii="Tahoma" w:hAnsi="Tahoma" w:cs="Tahoma"/>
          <w:sz w:val="20"/>
          <w:szCs w:val="20"/>
        </w:rPr>
        <w:t xml:space="preserve"> de la</w:t>
      </w:r>
      <w:r w:rsidRPr="00161C60">
        <w:rPr>
          <w:rFonts w:ascii="Tahoma" w:hAnsi="Tahoma" w:cs="Tahoma"/>
          <w:sz w:val="20"/>
          <w:szCs w:val="20"/>
        </w:rPr>
        <w:t xml:space="preserve"> </w:t>
      </w:r>
      <w:r w:rsidR="006B668D" w:rsidRPr="00161C60">
        <w:rPr>
          <w:rFonts w:ascii="Tahoma" w:hAnsi="Tahoma" w:cs="Tahoma"/>
          <w:sz w:val="20"/>
          <w:szCs w:val="20"/>
        </w:rPr>
        <w:t>Adjudicación de Menor Cuantía № 0001-2010-EP/UO 0860</w:t>
      </w:r>
      <w:r w:rsidRPr="00161C60">
        <w:rPr>
          <w:rFonts w:ascii="Tahoma" w:hAnsi="Tahoma" w:cs="Tahoma"/>
          <w:sz w:val="20"/>
          <w:szCs w:val="20"/>
        </w:rPr>
        <w:t>, convocado por</w:t>
      </w:r>
      <w:r w:rsidR="004F2CC5" w:rsidRPr="00161C60">
        <w:rPr>
          <w:rFonts w:ascii="Tahoma" w:hAnsi="Tahoma" w:cs="Tahoma"/>
          <w:sz w:val="20"/>
          <w:szCs w:val="20"/>
        </w:rPr>
        <w:t xml:space="preserve"> </w:t>
      </w:r>
      <w:r w:rsidR="005F24AA" w:rsidRPr="00161C60">
        <w:rPr>
          <w:rFonts w:ascii="Tahoma" w:hAnsi="Tahoma" w:cs="Tahoma"/>
          <w:sz w:val="20"/>
          <w:szCs w:val="20"/>
        </w:rPr>
        <w:t>la Región Militar del Oriente - Unidad Operativa 0860 del Ejército Peruano</w:t>
      </w:r>
      <w:r w:rsidRPr="00161C60">
        <w:rPr>
          <w:rFonts w:ascii="Tahoma" w:hAnsi="Tahoma" w:cs="Tahoma"/>
          <w:sz w:val="20"/>
          <w:szCs w:val="20"/>
        </w:rPr>
        <w:t>, para</w:t>
      </w:r>
      <w:r w:rsidR="00903A92" w:rsidRPr="00161C60">
        <w:rPr>
          <w:rFonts w:ascii="Tahoma" w:hAnsi="Tahoma" w:cs="Tahoma"/>
          <w:sz w:val="20"/>
          <w:szCs w:val="20"/>
        </w:rPr>
        <w:t xml:space="preserve"> </w:t>
      </w:r>
      <w:r w:rsidR="003C089D" w:rsidRPr="003C089D">
        <w:rPr>
          <w:rFonts w:ascii="Tahoma" w:hAnsi="Tahoma" w:cs="Tahoma"/>
          <w:sz w:val="20"/>
          <w:szCs w:val="20"/>
        </w:rPr>
        <w:t>el “Suministro de artículos para el funcionamiento del Batallón de reserva de la RMO”</w:t>
      </w:r>
      <w:r w:rsidRPr="00161C60">
        <w:rPr>
          <w:rFonts w:ascii="Tahoma" w:hAnsi="Tahoma" w:cs="Tahoma"/>
          <w:sz w:val="20"/>
          <w:szCs w:val="20"/>
        </w:rPr>
        <w:t xml:space="preserve">, y; atendiendo a los siguientes:  </w:t>
      </w:r>
    </w:p>
    <w:p w:rsidR="00E13E6B" w:rsidRPr="00161C60" w:rsidRDefault="00E13E6B" w:rsidP="00161C60">
      <w:pPr>
        <w:ind w:right="45"/>
        <w:jc w:val="both"/>
        <w:rPr>
          <w:rFonts w:ascii="Tahoma" w:hAnsi="Tahoma" w:cs="Tahoma"/>
          <w:b/>
          <w:sz w:val="20"/>
          <w:szCs w:val="20"/>
        </w:rPr>
      </w:pPr>
    </w:p>
    <w:p w:rsidR="00E13E6B" w:rsidRPr="00161C60" w:rsidRDefault="00E13E6B" w:rsidP="00161C60">
      <w:pPr>
        <w:ind w:firstLine="567"/>
        <w:jc w:val="both"/>
        <w:rPr>
          <w:rFonts w:ascii="Tahoma" w:hAnsi="Tahoma" w:cs="Tahoma"/>
          <w:b/>
          <w:sz w:val="20"/>
          <w:szCs w:val="20"/>
        </w:rPr>
      </w:pPr>
      <w:r w:rsidRPr="00161C60">
        <w:rPr>
          <w:rFonts w:ascii="Tahoma" w:hAnsi="Tahoma" w:cs="Tahoma"/>
          <w:b/>
          <w:sz w:val="20"/>
          <w:szCs w:val="20"/>
        </w:rPr>
        <w:t>ANTECEDENTES:</w:t>
      </w:r>
    </w:p>
    <w:p w:rsidR="00E13E6B" w:rsidRPr="00161C60" w:rsidRDefault="00E13E6B" w:rsidP="00161C60">
      <w:pPr>
        <w:ind w:left="426"/>
        <w:jc w:val="both"/>
        <w:rPr>
          <w:rFonts w:ascii="Tahoma" w:hAnsi="Tahoma" w:cs="Tahoma"/>
          <w:b/>
          <w:bCs/>
          <w:shadow/>
          <w:sz w:val="20"/>
          <w:szCs w:val="20"/>
        </w:rPr>
      </w:pPr>
    </w:p>
    <w:p w:rsidR="00161C60" w:rsidRPr="00161C60" w:rsidRDefault="00161C60" w:rsidP="00161C60">
      <w:pPr>
        <w:numPr>
          <w:ilvl w:val="0"/>
          <w:numId w:val="19"/>
        </w:numPr>
        <w:ind w:left="567" w:hanging="567"/>
        <w:jc w:val="both"/>
        <w:rPr>
          <w:rFonts w:ascii="Tahoma" w:hAnsi="Tahoma" w:cs="Tahoma"/>
          <w:sz w:val="20"/>
          <w:szCs w:val="20"/>
        </w:rPr>
      </w:pPr>
      <w:r w:rsidRPr="00161C60">
        <w:rPr>
          <w:rFonts w:ascii="Tahoma" w:hAnsi="Tahoma" w:cs="Tahoma"/>
          <w:sz w:val="20"/>
          <w:szCs w:val="20"/>
        </w:rPr>
        <w:t>El 30 de marzo de 2010, la Región Militar del Oriente - Unidad Operativa 0860 del Ejército Peruano, en adelante la Entidad, convocó la Adjudicación de Menor Cuantía № 0001-2010-EP/UO 0860, primera convocatoria, para el “Suministro de artículos para el funcionamiento del Batallón de reserva de la RMO”, por un valor referencial de S/. 25,142.93 (Veinticinco mil ciento cuarenta y dos con 93/100 nuevos soles), incluido los impuesto de ley.</w:t>
      </w:r>
    </w:p>
    <w:p w:rsidR="00161C60" w:rsidRPr="00161C60" w:rsidRDefault="00161C60" w:rsidP="00161C60">
      <w:pPr>
        <w:ind w:left="567"/>
        <w:jc w:val="both"/>
        <w:rPr>
          <w:rFonts w:ascii="Tahoma" w:hAnsi="Tahoma" w:cs="Tahoma"/>
          <w:sz w:val="20"/>
          <w:szCs w:val="20"/>
        </w:rPr>
      </w:pPr>
    </w:p>
    <w:p w:rsidR="00161C60" w:rsidRPr="00161C60" w:rsidRDefault="00161C60" w:rsidP="00161C60">
      <w:pPr>
        <w:numPr>
          <w:ilvl w:val="0"/>
          <w:numId w:val="19"/>
        </w:numPr>
        <w:ind w:left="567" w:hanging="567"/>
        <w:jc w:val="both"/>
        <w:rPr>
          <w:rFonts w:ascii="Tahoma" w:hAnsi="Tahoma" w:cs="Tahoma"/>
          <w:sz w:val="20"/>
          <w:szCs w:val="20"/>
        </w:rPr>
      </w:pPr>
      <w:r w:rsidRPr="00161C60">
        <w:rPr>
          <w:rFonts w:ascii="Tahoma" w:hAnsi="Tahoma" w:cs="Tahoma"/>
          <w:sz w:val="20"/>
          <w:szCs w:val="20"/>
        </w:rPr>
        <w:t>Como resultado del proceso de selección, el 06 de abril de 2010, se otorgó la Buena Pro al Consorcio conformado por la empresa INVERSIONES CHIRINOS E.I.R.L y la señora NORA ALVEZ LOMAS, en lo sucesivo el Consorcio, por su oferta económica ascendente a S/. 21 165.33 nuevos soles.</w:t>
      </w:r>
    </w:p>
    <w:p w:rsidR="00161C60" w:rsidRPr="00161C60" w:rsidRDefault="00161C60" w:rsidP="00161C60">
      <w:pPr>
        <w:pStyle w:val="Prrafodelista"/>
        <w:jc w:val="both"/>
        <w:rPr>
          <w:rFonts w:ascii="Tahoma" w:hAnsi="Tahoma" w:cs="Tahoma"/>
        </w:rPr>
      </w:pPr>
    </w:p>
    <w:p w:rsidR="00161C60" w:rsidRPr="00161C60" w:rsidRDefault="00161C60" w:rsidP="00161C60">
      <w:pPr>
        <w:numPr>
          <w:ilvl w:val="0"/>
          <w:numId w:val="19"/>
        </w:numPr>
        <w:ind w:left="567" w:hanging="567"/>
        <w:jc w:val="both"/>
        <w:rPr>
          <w:rFonts w:ascii="Tahoma" w:hAnsi="Tahoma" w:cs="Tahoma"/>
          <w:sz w:val="20"/>
          <w:szCs w:val="20"/>
        </w:rPr>
      </w:pPr>
      <w:r w:rsidRPr="00161C60">
        <w:rPr>
          <w:rFonts w:ascii="Tahoma" w:hAnsi="Tahoma" w:cs="Tahoma"/>
          <w:sz w:val="20"/>
          <w:szCs w:val="20"/>
        </w:rPr>
        <w:t>El 15 de abril de 2010, la Entidad y el Consorcio, suscribieron el Contrato № 005-2010-RMO, para el suministro de artículos para el funcionamiento del Batallón de reserva de la RMO, por el monto de S/. 21 165.33, y cuyo plazo de ejecución contractual culminaba en diciembre de 2010. Asimismo, en la Cláusula Tercera del contrato se estipuló que los bienes deberán ser entregados en el plazo de uno (01) día de recepcionada la respectiva orden de compra.</w:t>
      </w:r>
    </w:p>
    <w:p w:rsidR="00161C60" w:rsidRPr="00161C60" w:rsidRDefault="00161C60" w:rsidP="00161C60">
      <w:pPr>
        <w:pStyle w:val="Prrafodelista"/>
        <w:jc w:val="both"/>
        <w:rPr>
          <w:rFonts w:ascii="Tahoma" w:hAnsi="Tahoma" w:cs="Tahoma"/>
        </w:rPr>
      </w:pPr>
    </w:p>
    <w:p w:rsidR="00161C60" w:rsidRPr="00161C60" w:rsidRDefault="00161C60" w:rsidP="00161C60">
      <w:pPr>
        <w:ind w:left="567"/>
        <w:jc w:val="both"/>
        <w:rPr>
          <w:rFonts w:ascii="Tahoma" w:hAnsi="Tahoma" w:cs="Tahoma"/>
          <w:b/>
          <w:sz w:val="20"/>
          <w:szCs w:val="20"/>
        </w:rPr>
      </w:pPr>
      <w:r w:rsidRPr="00161C60">
        <w:rPr>
          <w:rFonts w:ascii="Tahoma" w:hAnsi="Tahoma" w:cs="Tahoma"/>
          <w:sz w:val="20"/>
          <w:szCs w:val="20"/>
        </w:rPr>
        <w:t>En atención a ello, el 23 de agosto de 2010, la Entidad remitió las Órdenes de Compra № 00216, № 00217, № 00268, № 00269, № 00270, № 00271, № 00272, № 00273, № 00274, № 00275, № 00276, № 00278, № 00279, № 00280, № 00281, № 00282, № 00283, № 00284, № 00285, № 00286, № 00287, № 00288 y № 00289, con el fin de obtener los bienes objeto del referido proceso de selección.</w:t>
      </w:r>
    </w:p>
    <w:p w:rsidR="00161C60" w:rsidRPr="00161C60" w:rsidRDefault="00161C60" w:rsidP="00161C60">
      <w:pPr>
        <w:pStyle w:val="Prrafodelista"/>
        <w:jc w:val="both"/>
        <w:rPr>
          <w:rFonts w:ascii="Tahoma" w:hAnsi="Tahoma" w:cs="Tahoma"/>
        </w:rPr>
      </w:pPr>
    </w:p>
    <w:p w:rsidR="00161C60" w:rsidRPr="00161C60" w:rsidRDefault="00161C60" w:rsidP="00161C60">
      <w:pPr>
        <w:numPr>
          <w:ilvl w:val="0"/>
          <w:numId w:val="19"/>
        </w:numPr>
        <w:ind w:left="567" w:hanging="567"/>
        <w:jc w:val="both"/>
        <w:rPr>
          <w:rFonts w:ascii="Tahoma" w:hAnsi="Tahoma" w:cs="Tahoma"/>
          <w:sz w:val="20"/>
          <w:szCs w:val="20"/>
        </w:rPr>
      </w:pPr>
      <w:r w:rsidRPr="00161C60">
        <w:rPr>
          <w:rFonts w:ascii="Tahoma" w:hAnsi="Tahoma" w:cs="Tahoma"/>
          <w:sz w:val="20"/>
          <w:szCs w:val="20"/>
        </w:rPr>
        <w:t xml:space="preserve">A través de la Carta notarial de fecha 27 de agosto de 2010, notificada el 01 de septiembre del mismo año, la Entidad comunicó al Consorcio que habiéndose vencido el plazo para la entrega de los bienes ofertados, le otorgaba un plazo de dos (02) días a fin </w:t>
      </w:r>
      <w:r w:rsidRPr="00161C60">
        <w:rPr>
          <w:rFonts w:ascii="Tahoma" w:hAnsi="Tahoma" w:cs="Tahoma"/>
          <w:sz w:val="20"/>
          <w:szCs w:val="20"/>
        </w:rPr>
        <w:lastRenderedPageBreak/>
        <w:t>de que cumpla con sus obligaciones contractuales, bajo apercibimiento de resolver el Contrato № 005-2010-RMO; precisando que de continuar con el incumplimiento se procedería a la resolución contractual.</w:t>
      </w:r>
    </w:p>
    <w:p w:rsidR="00161C60" w:rsidRPr="00161C60" w:rsidRDefault="00161C60" w:rsidP="00161C60">
      <w:pPr>
        <w:pStyle w:val="Prrafodelista"/>
        <w:jc w:val="both"/>
        <w:rPr>
          <w:rFonts w:ascii="Tahoma" w:hAnsi="Tahoma" w:cs="Tahoma"/>
        </w:rPr>
      </w:pPr>
    </w:p>
    <w:p w:rsidR="00161C60" w:rsidRPr="00161C60" w:rsidRDefault="00161C60" w:rsidP="00161C60">
      <w:pPr>
        <w:numPr>
          <w:ilvl w:val="0"/>
          <w:numId w:val="19"/>
        </w:numPr>
        <w:ind w:left="567" w:hanging="567"/>
        <w:jc w:val="both"/>
        <w:rPr>
          <w:rFonts w:ascii="Tahoma" w:hAnsi="Tahoma" w:cs="Tahoma"/>
          <w:sz w:val="20"/>
          <w:szCs w:val="20"/>
        </w:rPr>
      </w:pPr>
      <w:r w:rsidRPr="00161C60">
        <w:rPr>
          <w:rFonts w:ascii="Tahoma" w:hAnsi="Tahoma" w:cs="Tahoma"/>
          <w:sz w:val="20"/>
          <w:szCs w:val="20"/>
        </w:rPr>
        <w:t>A través de la Carta Notarial de fecha 04 de septiembre de 2010, diligenciada el 07 del mismo mes y año, la Entidad comunicó al Contratista la resolución del vínculo contractual, por causal atribuible a su parte.</w:t>
      </w:r>
    </w:p>
    <w:p w:rsidR="00161C60" w:rsidRPr="00161C60" w:rsidRDefault="00161C60" w:rsidP="00161C60">
      <w:pPr>
        <w:pStyle w:val="Prrafodelista"/>
        <w:jc w:val="both"/>
        <w:rPr>
          <w:rFonts w:ascii="Tahoma" w:hAnsi="Tahoma" w:cs="Tahoma"/>
        </w:rPr>
      </w:pPr>
    </w:p>
    <w:p w:rsidR="00161C60" w:rsidRPr="00161C60" w:rsidRDefault="00161C60" w:rsidP="00161C60">
      <w:pPr>
        <w:numPr>
          <w:ilvl w:val="0"/>
          <w:numId w:val="19"/>
        </w:numPr>
        <w:ind w:left="567" w:hanging="567"/>
        <w:jc w:val="both"/>
        <w:rPr>
          <w:rFonts w:ascii="Tahoma" w:hAnsi="Tahoma" w:cs="Tahoma"/>
          <w:sz w:val="20"/>
          <w:szCs w:val="20"/>
        </w:rPr>
      </w:pPr>
      <w:r w:rsidRPr="00161C60">
        <w:rPr>
          <w:rFonts w:ascii="Tahoma" w:hAnsi="Tahoma" w:cs="Tahoma"/>
          <w:sz w:val="20"/>
          <w:szCs w:val="20"/>
        </w:rPr>
        <w:t>Con escrito Oficio № 074/NC/ABASTO/DELOG-RMO presentado el 02 de diciembre de 2010 ante la Oficina Desconcentrado de Iquitos e ingresado a la Mesa de Partes del Tribunal el 03 del mismo mes y año, la Entidad puso en conocimiento del Tribunal de Contrataciones del Estado, en adelante el Tribunal, la supuesta responsabilidad del Consorcio en la resolución del Contrato № 005-2010-RMO de fecha 15 de abril de 2010, por causal atribuible a su parte, derivado del acotado proceso de selección, pese a haber sido requerida de acuerdo con la legislación vigente. Asimismo, la Entidad indicó que a la fecha no existe proceso arbitral u otro mecanismo que se haya iniciado.</w:t>
      </w:r>
    </w:p>
    <w:p w:rsidR="00161C60" w:rsidRPr="00161C60" w:rsidRDefault="00161C60" w:rsidP="00161C60">
      <w:pPr>
        <w:pStyle w:val="Prrafodelista"/>
        <w:jc w:val="both"/>
        <w:rPr>
          <w:rFonts w:ascii="Tahoma" w:hAnsi="Tahoma" w:cs="Tahoma"/>
        </w:rPr>
      </w:pPr>
    </w:p>
    <w:p w:rsidR="00161C60" w:rsidRPr="00161C60" w:rsidRDefault="00161C60" w:rsidP="00161C60">
      <w:pPr>
        <w:numPr>
          <w:ilvl w:val="0"/>
          <w:numId w:val="19"/>
        </w:numPr>
        <w:ind w:left="567" w:hanging="567"/>
        <w:jc w:val="both"/>
        <w:rPr>
          <w:rFonts w:ascii="Tahoma" w:hAnsi="Tahoma" w:cs="Tahoma"/>
          <w:sz w:val="20"/>
          <w:szCs w:val="20"/>
        </w:rPr>
      </w:pPr>
      <w:r w:rsidRPr="00161C60">
        <w:rPr>
          <w:rFonts w:ascii="Tahoma" w:hAnsi="Tahoma" w:cs="Tahoma"/>
          <w:sz w:val="20"/>
          <w:szCs w:val="20"/>
        </w:rPr>
        <w:t>Con decreto de fecha 09 de diciembre de 2010, el Tribunal inició el procedimiento administrativo sancionador contra los integrantes del Consorcio por su supuesta responsabilidad en la resolución del Contrato № 005-2010-RMO de fecha 15 de abril de 2010, derivado de la Adjudicación de Menor Cuantía № 0001-2010-EP/UO 0860, primera convocatoria, por causal atribuible a su parte, infracción tipificada en el literal b) del numeral 1) del artículo 237 del Reglamento. Asimismo, se les requirió para que en el plazo de diez (10) días hábiles cumplieran con presentar su escrito de descargos.</w:t>
      </w:r>
    </w:p>
    <w:p w:rsidR="00161C60" w:rsidRPr="00161C60" w:rsidRDefault="00161C60" w:rsidP="00161C60">
      <w:pPr>
        <w:pStyle w:val="Prrafodelista"/>
        <w:jc w:val="both"/>
        <w:rPr>
          <w:rFonts w:ascii="Tahoma" w:hAnsi="Tahoma" w:cs="Tahoma"/>
        </w:rPr>
      </w:pPr>
    </w:p>
    <w:p w:rsidR="00161C60" w:rsidRPr="00161C60" w:rsidRDefault="00161C60" w:rsidP="00161C60">
      <w:pPr>
        <w:numPr>
          <w:ilvl w:val="0"/>
          <w:numId w:val="19"/>
        </w:numPr>
        <w:ind w:left="567" w:hanging="567"/>
        <w:jc w:val="both"/>
        <w:rPr>
          <w:rFonts w:ascii="Tahoma" w:hAnsi="Tahoma" w:cs="Tahoma"/>
          <w:sz w:val="20"/>
          <w:szCs w:val="20"/>
        </w:rPr>
      </w:pPr>
      <w:r w:rsidRPr="00161C60">
        <w:rPr>
          <w:rFonts w:ascii="Tahoma" w:hAnsi="Tahoma" w:cs="Tahoma"/>
          <w:sz w:val="20"/>
          <w:szCs w:val="20"/>
        </w:rPr>
        <w:t>Mediante escrito presentado el 04 de febrero de 2011 ante la Oficina Desconcentrada de Iquitos e ingresado a la Mesa de Partes del Tribunal el 09 del mismo mes y año, el representante legal del Consorcio presentó su escrito de descargos bajo los siguientes términos:</w:t>
      </w:r>
    </w:p>
    <w:p w:rsidR="00161C60" w:rsidRPr="00161C60" w:rsidRDefault="00161C60" w:rsidP="00161C60">
      <w:pPr>
        <w:pStyle w:val="Prrafodelista"/>
        <w:jc w:val="both"/>
        <w:rPr>
          <w:rFonts w:ascii="Tahoma" w:hAnsi="Tahoma" w:cs="Tahoma"/>
        </w:rPr>
      </w:pPr>
    </w:p>
    <w:p w:rsidR="00161C60" w:rsidRPr="00161C60" w:rsidRDefault="00161C60" w:rsidP="00161C60">
      <w:pPr>
        <w:numPr>
          <w:ilvl w:val="0"/>
          <w:numId w:val="22"/>
        </w:numPr>
        <w:ind w:left="1134" w:hanging="283"/>
        <w:jc w:val="both"/>
        <w:rPr>
          <w:rFonts w:ascii="Tahoma" w:hAnsi="Tahoma" w:cs="Tahoma"/>
          <w:sz w:val="20"/>
          <w:szCs w:val="20"/>
        </w:rPr>
      </w:pPr>
      <w:r w:rsidRPr="00161C60">
        <w:rPr>
          <w:rFonts w:ascii="Tahoma" w:hAnsi="Tahoma" w:cs="Tahoma"/>
          <w:sz w:val="20"/>
          <w:szCs w:val="20"/>
        </w:rPr>
        <w:t>De acuerdo a la Promesa Formal de Consorcio, se consigno como representante legal del Consorcio al señor Wualter Chirinos Larios, domiciliado en Calle Atahualpa № 577, Iquitos, el mismo que fuera el domicilio común de los consorciados, tal y como se estableció en el Contrato № 005-2010-RMO. (sic)</w:t>
      </w:r>
    </w:p>
    <w:p w:rsidR="00161C60" w:rsidRPr="00161C60" w:rsidRDefault="00161C60" w:rsidP="00161C60">
      <w:pPr>
        <w:ind w:left="1134" w:hanging="283"/>
        <w:jc w:val="both"/>
        <w:rPr>
          <w:rFonts w:ascii="Tahoma" w:hAnsi="Tahoma" w:cs="Tahoma"/>
          <w:sz w:val="20"/>
          <w:szCs w:val="20"/>
        </w:rPr>
      </w:pPr>
    </w:p>
    <w:p w:rsidR="00161C60" w:rsidRPr="00161C60" w:rsidRDefault="00161C60" w:rsidP="00161C60">
      <w:pPr>
        <w:numPr>
          <w:ilvl w:val="0"/>
          <w:numId w:val="22"/>
        </w:numPr>
        <w:ind w:left="1134" w:hanging="283"/>
        <w:jc w:val="both"/>
        <w:rPr>
          <w:rFonts w:ascii="Tahoma" w:hAnsi="Tahoma" w:cs="Tahoma"/>
          <w:sz w:val="20"/>
          <w:szCs w:val="20"/>
        </w:rPr>
      </w:pPr>
      <w:r w:rsidRPr="00161C60">
        <w:rPr>
          <w:rFonts w:ascii="Tahoma" w:hAnsi="Tahoma" w:cs="Tahoma"/>
          <w:sz w:val="20"/>
          <w:szCs w:val="20"/>
        </w:rPr>
        <w:t>No obstante ello, las órdenes de compra emitidas por la Entidad, no fueron remitidas al domicilio consignado en el contrato de la referencia, sino por el contrario fueron notificadas al domicilio sito en: Av. Del Ejercito № 1855, Morona Cocha, Iquitos.</w:t>
      </w:r>
    </w:p>
    <w:p w:rsidR="00161C60" w:rsidRPr="00161C60" w:rsidRDefault="00161C60" w:rsidP="00161C60">
      <w:pPr>
        <w:pStyle w:val="Prrafodelista"/>
        <w:jc w:val="both"/>
        <w:rPr>
          <w:rFonts w:ascii="Tahoma" w:hAnsi="Tahoma" w:cs="Tahoma"/>
        </w:rPr>
      </w:pPr>
    </w:p>
    <w:p w:rsidR="00161C60" w:rsidRPr="00161C60" w:rsidRDefault="00161C60" w:rsidP="00161C60">
      <w:pPr>
        <w:numPr>
          <w:ilvl w:val="0"/>
          <w:numId w:val="22"/>
        </w:numPr>
        <w:ind w:left="1134" w:hanging="283"/>
        <w:jc w:val="both"/>
        <w:rPr>
          <w:rFonts w:ascii="Tahoma" w:hAnsi="Tahoma" w:cs="Tahoma"/>
          <w:sz w:val="20"/>
          <w:szCs w:val="20"/>
        </w:rPr>
      </w:pPr>
      <w:r w:rsidRPr="00161C60">
        <w:rPr>
          <w:rFonts w:ascii="Tahoma" w:hAnsi="Tahoma" w:cs="Tahoma"/>
          <w:sz w:val="20"/>
          <w:szCs w:val="20"/>
        </w:rPr>
        <w:t>Razón por la cual, mi representada no tuvo conocimiento de las órdenes de compra, y poder así dar cumplimiento de las mismas, toda vez que las citadas órdenes de compra no fueron recepcionadas por el representante legal del consorcio, en el domicilio consignado en el contrato para los efectos derivados del mismo. (sic)</w:t>
      </w:r>
    </w:p>
    <w:p w:rsidR="00161C60" w:rsidRPr="00161C60" w:rsidRDefault="00161C60" w:rsidP="00161C60">
      <w:pPr>
        <w:pStyle w:val="Prrafodelista"/>
        <w:jc w:val="both"/>
        <w:rPr>
          <w:rFonts w:ascii="Tahoma" w:hAnsi="Tahoma" w:cs="Tahoma"/>
        </w:rPr>
      </w:pPr>
    </w:p>
    <w:p w:rsidR="00161C60" w:rsidRPr="00161C60" w:rsidRDefault="00161C60" w:rsidP="00161C60">
      <w:pPr>
        <w:numPr>
          <w:ilvl w:val="0"/>
          <w:numId w:val="22"/>
        </w:numPr>
        <w:ind w:left="1134" w:hanging="283"/>
        <w:jc w:val="both"/>
        <w:rPr>
          <w:rFonts w:ascii="Tahoma" w:hAnsi="Tahoma" w:cs="Tahoma"/>
          <w:sz w:val="20"/>
          <w:szCs w:val="20"/>
        </w:rPr>
      </w:pPr>
      <w:r w:rsidRPr="00161C60">
        <w:rPr>
          <w:rFonts w:ascii="Tahoma" w:hAnsi="Tahoma" w:cs="Tahoma"/>
          <w:sz w:val="20"/>
          <w:szCs w:val="20"/>
        </w:rPr>
        <w:t xml:space="preserve">Cabe resaltar, que de la verificación de las mencionadas órdenes de compra, se desprende que las mismas fueron recepcionadas por la señora Karina Llerena Peña </w:t>
      </w:r>
      <w:r w:rsidRPr="00161C60">
        <w:rPr>
          <w:rFonts w:ascii="Tahoma" w:hAnsi="Tahoma" w:cs="Tahoma"/>
          <w:sz w:val="20"/>
          <w:szCs w:val="20"/>
        </w:rPr>
        <w:lastRenderedPageBreak/>
        <w:t xml:space="preserve">en el domicilio sito en: Av. Del Ejercito № 1855, Morona Cocha, Iquitos, siendo ello, corroborado por la citada señora a través de la Declaración Jurada de fecha 03 de febrero de 2011. </w:t>
      </w:r>
    </w:p>
    <w:p w:rsidR="00161C60" w:rsidRPr="00161C60" w:rsidRDefault="00161C60" w:rsidP="00161C60">
      <w:pPr>
        <w:pStyle w:val="Prrafodelista"/>
        <w:jc w:val="both"/>
        <w:rPr>
          <w:rFonts w:ascii="Tahoma" w:hAnsi="Tahoma" w:cs="Tahoma"/>
        </w:rPr>
      </w:pPr>
    </w:p>
    <w:p w:rsidR="00161C60" w:rsidRPr="00161C60" w:rsidRDefault="00161C60" w:rsidP="00161C60">
      <w:pPr>
        <w:numPr>
          <w:ilvl w:val="0"/>
          <w:numId w:val="19"/>
        </w:numPr>
        <w:ind w:left="567" w:hanging="567"/>
        <w:jc w:val="both"/>
        <w:rPr>
          <w:rFonts w:ascii="Tahoma" w:hAnsi="Tahoma" w:cs="Tahoma"/>
          <w:sz w:val="20"/>
          <w:szCs w:val="20"/>
        </w:rPr>
      </w:pPr>
      <w:r w:rsidRPr="00161C60">
        <w:rPr>
          <w:rFonts w:ascii="Tahoma" w:hAnsi="Tahoma" w:cs="Tahoma"/>
          <w:sz w:val="20"/>
          <w:szCs w:val="20"/>
        </w:rPr>
        <w:t>Con decreto de fecha 17 de febrero de 2011, se tuvo por apersonado a los integrantes del Consorcio a la instancia administrativa, y se remitió el expediente a la Primera Sala del Tribunal para que resolviera.</w:t>
      </w:r>
    </w:p>
    <w:p w:rsidR="00161C60" w:rsidRPr="00161C60" w:rsidRDefault="00161C60" w:rsidP="00161C60">
      <w:pPr>
        <w:ind w:left="567"/>
        <w:jc w:val="both"/>
        <w:rPr>
          <w:rFonts w:ascii="Tahoma" w:hAnsi="Tahoma" w:cs="Tahoma"/>
          <w:sz w:val="20"/>
          <w:szCs w:val="20"/>
        </w:rPr>
      </w:pPr>
    </w:p>
    <w:p w:rsidR="00161C60" w:rsidRPr="00161C60" w:rsidRDefault="00161C60" w:rsidP="00161C60">
      <w:pPr>
        <w:numPr>
          <w:ilvl w:val="0"/>
          <w:numId w:val="19"/>
        </w:numPr>
        <w:ind w:left="567" w:hanging="567"/>
        <w:jc w:val="both"/>
        <w:rPr>
          <w:rFonts w:ascii="Tahoma" w:hAnsi="Tahoma" w:cs="Tahoma"/>
          <w:sz w:val="20"/>
          <w:szCs w:val="20"/>
        </w:rPr>
      </w:pPr>
      <w:r w:rsidRPr="00161C60">
        <w:rPr>
          <w:rFonts w:ascii="Tahoma" w:hAnsi="Tahoma" w:cs="Tahoma"/>
          <w:sz w:val="20"/>
          <w:szCs w:val="20"/>
        </w:rPr>
        <w:t xml:space="preserve">Mediante decreto de fecha 01 de marzo de 2011, se requirió a la Entidad a fin que cumpliera con informar si las Órdenes de Compra № 00216, № 00217, № 00268, № 00269, № 00270, № 00271, № 00272, № 00273, № 00274, № 00275, № 00276, № 00278, № 00279, № 00280, № 00281, № 00282, № 00283, № 00284, № 00285, № 00286, № 00287, № 00288 y № 00289 fueron dirigidas al domicilio Av. Del Ejercito № 1855, Morona Cocha, Iquitos,  y no al domicilio señalado en el Contrato № 005-2010-RMO, sito en Calle Atahualpa № 577, Iquitos. Adicionalmente a ello, </w:t>
      </w:r>
      <w:r w:rsidRPr="00161C60">
        <w:rPr>
          <w:rFonts w:ascii="Tahoma" w:hAnsi="Tahoma" w:cs="Tahoma"/>
          <w:sz w:val="20"/>
          <w:szCs w:val="20"/>
        </w:rPr>
        <w:t></w:t>
      </w:r>
      <w:r w:rsidRPr="00161C60">
        <w:rPr>
          <w:rFonts w:ascii="Tahoma" w:hAnsi="Tahoma" w:cs="Tahoma"/>
          <w:sz w:val="20"/>
          <w:szCs w:val="20"/>
        </w:rPr>
        <w:tab/>
        <w:t>se solicitó a la Entidad que señalará si el Consorcio solicitó que se le notificara las órdenes de la compra antes mencionadas al domicilio sito en: Av. Del Ejercito № 1855, Morona Cocha, Iquitos. De ser así, remita la documentación que acredite la solicitud efectuada por el Consorcio.</w:t>
      </w:r>
    </w:p>
    <w:p w:rsidR="00161C60" w:rsidRPr="00161C60" w:rsidRDefault="00161C60" w:rsidP="00161C60">
      <w:pPr>
        <w:pStyle w:val="Prrafodelista"/>
        <w:jc w:val="both"/>
        <w:rPr>
          <w:rFonts w:ascii="Tahoma" w:hAnsi="Tahoma" w:cs="Tahoma"/>
        </w:rPr>
      </w:pPr>
    </w:p>
    <w:p w:rsidR="00161C60" w:rsidRPr="00161C60" w:rsidRDefault="00161C60" w:rsidP="00161C60">
      <w:pPr>
        <w:numPr>
          <w:ilvl w:val="0"/>
          <w:numId w:val="19"/>
        </w:numPr>
        <w:ind w:left="567" w:hanging="567"/>
        <w:jc w:val="both"/>
        <w:rPr>
          <w:rFonts w:ascii="Tahoma" w:hAnsi="Tahoma" w:cs="Tahoma"/>
          <w:sz w:val="20"/>
          <w:szCs w:val="20"/>
        </w:rPr>
      </w:pPr>
      <w:r w:rsidRPr="00161C60">
        <w:rPr>
          <w:rFonts w:ascii="Tahoma" w:hAnsi="Tahoma" w:cs="Tahoma"/>
          <w:sz w:val="20"/>
          <w:szCs w:val="20"/>
        </w:rPr>
        <w:t>A través del decreto de fecha 07 de marzo de 2011, notificado el 10 del mismo mes y año, el Tribunal reiteró a la Entidad para que cumpliera con remitir la información y documentación requerida mediante decreto de fecha 01 de marzo de 2011; bajo apercibimiento de resolver con la documentación obrante en autos.</w:t>
      </w:r>
    </w:p>
    <w:p w:rsidR="00161C60" w:rsidRPr="00161C60" w:rsidRDefault="00161C60" w:rsidP="00161C60">
      <w:pPr>
        <w:pStyle w:val="Prrafodelista"/>
        <w:jc w:val="both"/>
        <w:rPr>
          <w:rFonts w:ascii="Tahoma" w:hAnsi="Tahoma" w:cs="Tahoma"/>
          <w:color w:val="000000"/>
        </w:rPr>
      </w:pPr>
    </w:p>
    <w:p w:rsidR="00161C60" w:rsidRPr="00161C60" w:rsidRDefault="00161C60" w:rsidP="00161C60">
      <w:pPr>
        <w:numPr>
          <w:ilvl w:val="0"/>
          <w:numId w:val="19"/>
        </w:numPr>
        <w:ind w:left="567" w:hanging="567"/>
        <w:jc w:val="both"/>
        <w:rPr>
          <w:rFonts w:ascii="Tahoma" w:hAnsi="Tahoma" w:cs="Tahoma"/>
          <w:sz w:val="20"/>
          <w:szCs w:val="20"/>
        </w:rPr>
      </w:pPr>
      <w:r w:rsidRPr="00161C60">
        <w:rPr>
          <w:rFonts w:ascii="Tahoma" w:hAnsi="Tahoma" w:cs="Tahoma"/>
          <w:color w:val="000000"/>
          <w:sz w:val="20"/>
          <w:szCs w:val="20"/>
        </w:rPr>
        <w:t>Habiendo transcurrido el último plazo otorgado, sin que la Entidad haya cumplido con lo solicitado, con decreto de fecha 15 de marzo de 2011, previa razón de Secretaria del Tribunal, se hizo efectivo el apercibimiento de resolver con la documentación obrante en autos.</w:t>
      </w:r>
    </w:p>
    <w:p w:rsidR="00161C60" w:rsidRPr="00161C60" w:rsidRDefault="00161C60" w:rsidP="00161C60">
      <w:pPr>
        <w:pStyle w:val="Prrafodelista"/>
        <w:jc w:val="both"/>
        <w:rPr>
          <w:rFonts w:ascii="Tahoma" w:hAnsi="Tahoma" w:cs="Tahoma"/>
        </w:rPr>
      </w:pPr>
    </w:p>
    <w:p w:rsidR="00E13E6B" w:rsidRPr="00161C60" w:rsidRDefault="00E13E6B" w:rsidP="00161C60">
      <w:pPr>
        <w:pStyle w:val="Textoindependiente"/>
        <w:tabs>
          <w:tab w:val="left" w:pos="-2340"/>
          <w:tab w:val="left" w:pos="540"/>
        </w:tabs>
        <w:spacing w:after="0"/>
        <w:ind w:left="180" w:hanging="180"/>
        <w:jc w:val="both"/>
        <w:rPr>
          <w:rFonts w:ascii="Tahoma" w:hAnsi="Tahoma" w:cs="Tahoma"/>
          <w:b/>
          <w:sz w:val="20"/>
          <w:szCs w:val="20"/>
        </w:rPr>
      </w:pPr>
      <w:r w:rsidRPr="00161C60">
        <w:rPr>
          <w:rFonts w:ascii="Tahoma" w:hAnsi="Tahoma" w:cs="Tahoma"/>
          <w:b/>
          <w:sz w:val="20"/>
          <w:szCs w:val="20"/>
        </w:rPr>
        <w:tab/>
      </w:r>
      <w:r w:rsidRPr="00161C60">
        <w:rPr>
          <w:rFonts w:ascii="Tahoma" w:hAnsi="Tahoma" w:cs="Tahoma"/>
          <w:b/>
          <w:sz w:val="20"/>
          <w:szCs w:val="20"/>
        </w:rPr>
        <w:tab/>
        <w:t>FUNDAMENTACIÓN:</w:t>
      </w:r>
    </w:p>
    <w:p w:rsidR="00E13E6B" w:rsidRPr="00161C60" w:rsidRDefault="00E13E6B" w:rsidP="00161C60">
      <w:pPr>
        <w:pStyle w:val="Sangradetextonormal"/>
        <w:spacing w:after="0"/>
        <w:ind w:left="0"/>
        <w:jc w:val="both"/>
        <w:rPr>
          <w:rFonts w:ascii="Tahoma" w:hAnsi="Tahoma" w:cs="Tahoma"/>
          <w:sz w:val="20"/>
          <w:szCs w:val="20"/>
        </w:rPr>
      </w:pPr>
    </w:p>
    <w:p w:rsidR="00161C60" w:rsidRPr="00161C60" w:rsidRDefault="00161C60" w:rsidP="00161C60">
      <w:pPr>
        <w:pStyle w:val="Prrafodelista"/>
        <w:numPr>
          <w:ilvl w:val="0"/>
          <w:numId w:val="4"/>
        </w:numPr>
        <w:ind w:left="567" w:hanging="567"/>
        <w:jc w:val="both"/>
        <w:rPr>
          <w:rFonts w:ascii="Tahoma" w:hAnsi="Tahoma" w:cs="Tahoma"/>
        </w:rPr>
      </w:pPr>
      <w:r w:rsidRPr="00161C60">
        <w:rPr>
          <w:rFonts w:ascii="Tahoma" w:hAnsi="Tahoma" w:cs="Tahoma"/>
        </w:rPr>
        <w:t>El numeral 1 del artículo 235 de la Ley № 27444, Ley del Procedimiento Administrativo General, establece que el procedimiento administrativo sancionador se inicia siempre de oficio, bien por propia iniciativa o como consecuencia de una orden superior, petición motivada de otros órganos o entidades o por denuncia.</w:t>
      </w:r>
    </w:p>
    <w:p w:rsidR="00161C60" w:rsidRPr="00161C60" w:rsidRDefault="00161C60" w:rsidP="00161C60">
      <w:pPr>
        <w:pStyle w:val="Prrafodelista"/>
        <w:ind w:left="567"/>
        <w:jc w:val="both"/>
        <w:rPr>
          <w:rFonts w:ascii="Tahoma" w:hAnsi="Tahoma" w:cs="Tahoma"/>
        </w:rPr>
      </w:pPr>
    </w:p>
    <w:p w:rsidR="00161C60" w:rsidRPr="00161C60" w:rsidRDefault="00161C60" w:rsidP="00161C60">
      <w:pPr>
        <w:pStyle w:val="Prrafodelista"/>
        <w:numPr>
          <w:ilvl w:val="0"/>
          <w:numId w:val="4"/>
        </w:numPr>
        <w:ind w:left="567" w:hanging="567"/>
        <w:jc w:val="both"/>
        <w:rPr>
          <w:rFonts w:ascii="Tahoma" w:hAnsi="Tahoma" w:cs="Tahoma"/>
        </w:rPr>
      </w:pPr>
      <w:r w:rsidRPr="00161C60">
        <w:rPr>
          <w:rFonts w:ascii="Tahoma" w:hAnsi="Tahoma" w:cs="Tahoma"/>
        </w:rPr>
        <w:t xml:space="preserve">En ese sentido, el Tribunal es el órgano que tiene a su cargo el conocimiento y resolución de los procedimientos de imposición de sanción de inhabilitación temporal o definitiva para contratar con el Estado, en los casos expresamente tipificados en el artículo </w:t>
      </w:r>
      <w:r w:rsidRPr="00161C60">
        <w:rPr>
          <w:rFonts w:ascii="Tahoma" w:hAnsi="Tahoma" w:cs="Tahoma"/>
          <w:lang w:val="es-MX"/>
        </w:rPr>
        <w:t>51 y 52 de la Ley de Contrataciones del Estado,</w:t>
      </w:r>
      <w:r w:rsidRPr="00161C60">
        <w:rPr>
          <w:rFonts w:ascii="Tahoma" w:hAnsi="Tahoma" w:cs="Tahoma"/>
        </w:rPr>
        <w:t xml:space="preserve"> aprobada mediante Decreto Legislativo № 1017,</w:t>
      </w:r>
      <w:r w:rsidRPr="00161C60">
        <w:rPr>
          <w:rFonts w:ascii="Tahoma" w:hAnsi="Tahoma" w:cs="Tahoma"/>
          <w:lang w:val="es-MX"/>
        </w:rPr>
        <w:t xml:space="preserve"> </w:t>
      </w:r>
      <w:r w:rsidRPr="00161C60">
        <w:rPr>
          <w:rFonts w:ascii="Tahoma" w:hAnsi="Tahoma" w:cs="Tahoma"/>
        </w:rPr>
        <w:t>norma aplicable al momento de la presunta comisión de la infracción</w:t>
      </w:r>
      <w:r w:rsidRPr="00161C60">
        <w:rPr>
          <w:rFonts w:ascii="Tahoma" w:hAnsi="Tahoma" w:cs="Tahoma"/>
          <w:lang w:val="es-MX"/>
        </w:rPr>
        <w:t xml:space="preserve">, y en los casos expresamente previstos en el artículo 237 de su Reglamento, aprobado mediante Decreto Supremo </w:t>
      </w:r>
      <w:r w:rsidRPr="00161C60">
        <w:rPr>
          <w:rFonts w:ascii="Tahoma" w:hAnsi="Tahoma" w:cs="Tahoma"/>
        </w:rPr>
        <w:t xml:space="preserve">№ 184-2008-EF, </w:t>
      </w:r>
      <w:r w:rsidRPr="00161C60">
        <w:rPr>
          <w:rFonts w:ascii="Tahoma" w:hAnsi="Tahoma" w:cs="Tahoma"/>
          <w:lang w:val="es-MX"/>
        </w:rPr>
        <w:t>sin perjuicio de las acciones legales que les corresponda adoptar a las Entidades, dentro de sus respectivas atribuciones, en salvaguarda de sus intereses</w:t>
      </w:r>
      <w:r w:rsidRPr="00161C60">
        <w:rPr>
          <w:rFonts w:ascii="Tahoma" w:hAnsi="Tahoma" w:cs="Tahoma"/>
        </w:rPr>
        <w:t>.</w:t>
      </w:r>
    </w:p>
    <w:p w:rsidR="00161C60" w:rsidRPr="00161C60" w:rsidRDefault="00161C60" w:rsidP="00161C60">
      <w:pPr>
        <w:pStyle w:val="Prrafodelista"/>
        <w:jc w:val="both"/>
        <w:rPr>
          <w:rFonts w:ascii="Tahoma" w:hAnsi="Tahoma" w:cs="Tahoma"/>
        </w:rPr>
      </w:pPr>
    </w:p>
    <w:p w:rsidR="00161C60" w:rsidRPr="00161C60" w:rsidRDefault="00161C60" w:rsidP="00161C60">
      <w:pPr>
        <w:pStyle w:val="Prrafodelista"/>
        <w:numPr>
          <w:ilvl w:val="0"/>
          <w:numId w:val="4"/>
        </w:numPr>
        <w:ind w:left="567" w:hanging="567"/>
        <w:jc w:val="both"/>
        <w:rPr>
          <w:rFonts w:ascii="Tahoma" w:hAnsi="Tahoma" w:cs="Tahoma"/>
        </w:rPr>
      </w:pPr>
      <w:r w:rsidRPr="00161C60">
        <w:rPr>
          <w:rFonts w:ascii="Tahoma" w:hAnsi="Tahoma" w:cs="Tahoma"/>
        </w:rPr>
        <w:lastRenderedPageBreak/>
        <w:t>El presente caso está referido a la supuesta responsabilidad del Consorcio por el incumplimiento injustificado de las obligaciones del Contrato № 005-2010-RMO de fecha 15 de abril de 2010, derivado de la Adjudicación de Menor Cuantía № 0001-2010-EP/UO 0860, primera convocatoria, supuesto de hecho del tipo legal previsto en el literal b) del numeral 51.1 del artículo 51 de la Ley</w:t>
      </w:r>
      <w:r w:rsidRPr="00161C60">
        <w:rPr>
          <w:rStyle w:val="Refdenotaalpie"/>
          <w:rFonts w:ascii="Tahoma" w:hAnsi="Tahoma" w:cs="Tahoma"/>
        </w:rPr>
        <w:footnoteReference w:id="2"/>
      </w:r>
      <w:r w:rsidRPr="00161C60">
        <w:rPr>
          <w:rFonts w:ascii="Tahoma" w:hAnsi="Tahoma" w:cs="Tahoma"/>
        </w:rPr>
        <w:t xml:space="preserve"> en concordancia con el literal b) del numeral 1) del artículo 237 del Reglamento</w:t>
      </w:r>
      <w:r w:rsidRPr="00161C60">
        <w:rPr>
          <w:rStyle w:val="Refdenotaalpie"/>
          <w:rFonts w:ascii="Tahoma" w:hAnsi="Tahoma" w:cs="Tahoma"/>
        </w:rPr>
        <w:footnoteReference w:id="3"/>
      </w:r>
      <w:r w:rsidRPr="00161C60">
        <w:rPr>
          <w:rFonts w:ascii="Tahoma" w:hAnsi="Tahoma" w:cs="Tahoma"/>
        </w:rPr>
        <w:t>, norma vigente al momento de suscitado el hecho imputado.</w:t>
      </w:r>
    </w:p>
    <w:p w:rsidR="00161C60" w:rsidRPr="00161C60" w:rsidRDefault="00161C60" w:rsidP="00161C60">
      <w:pPr>
        <w:pStyle w:val="Prrafodelista"/>
        <w:jc w:val="both"/>
        <w:rPr>
          <w:rFonts w:ascii="Tahoma" w:hAnsi="Tahoma" w:cs="Tahoma"/>
        </w:rPr>
      </w:pPr>
    </w:p>
    <w:p w:rsidR="00161C60" w:rsidRPr="00161C60" w:rsidRDefault="00161C60" w:rsidP="00161C60">
      <w:pPr>
        <w:pStyle w:val="Prrafodelista"/>
        <w:numPr>
          <w:ilvl w:val="0"/>
          <w:numId w:val="4"/>
        </w:numPr>
        <w:ind w:left="567" w:hanging="567"/>
        <w:jc w:val="both"/>
        <w:rPr>
          <w:rFonts w:ascii="Tahoma" w:hAnsi="Tahoma" w:cs="Tahoma"/>
        </w:rPr>
      </w:pPr>
      <w:r w:rsidRPr="00161C60">
        <w:rPr>
          <w:rFonts w:ascii="Tahoma" w:hAnsi="Tahoma" w:cs="Tahoma"/>
        </w:rPr>
        <w:t>Al respecto, la infracción tipificada en el literal b) del numeral 51.1 del artículo 51 de la Ley en concordancia con el literal b) del numeral 1) del artículo 237 del Reglamento establece como supuesto de hecho indispensable para su configuración, la resolución del contrato, orden de compra o de servicios, según corresponda, por causal atribuible a la Contratista.</w:t>
      </w:r>
    </w:p>
    <w:p w:rsidR="00161C60" w:rsidRPr="00161C60" w:rsidRDefault="00161C60" w:rsidP="00161C60">
      <w:pPr>
        <w:pStyle w:val="Prrafodelista"/>
        <w:jc w:val="both"/>
        <w:rPr>
          <w:rFonts w:ascii="Tahoma" w:hAnsi="Tahoma" w:cs="Tahoma"/>
        </w:rPr>
      </w:pPr>
    </w:p>
    <w:p w:rsidR="00161C60" w:rsidRPr="00161C60" w:rsidRDefault="00161C60" w:rsidP="00161C60">
      <w:pPr>
        <w:pStyle w:val="Prrafodelista"/>
        <w:numPr>
          <w:ilvl w:val="0"/>
          <w:numId w:val="4"/>
        </w:numPr>
        <w:ind w:left="567" w:hanging="567"/>
        <w:jc w:val="both"/>
        <w:rPr>
          <w:rFonts w:ascii="Tahoma" w:hAnsi="Tahoma" w:cs="Tahoma"/>
        </w:rPr>
      </w:pPr>
      <w:r w:rsidRPr="00161C60">
        <w:rPr>
          <w:rFonts w:ascii="Tahoma" w:hAnsi="Tahoma" w:cs="Tahoma"/>
        </w:rPr>
        <w:t>Sobre el particular, el artículo 168 del Reglamento prescribe las causales de resolución por incumplimiento, siendo que la Entidad podrá resolver el contrato cuando el Contratista: 1) Incumpla injustificadamente obligaciones contractuales, legales o reglamentarias a su cargo, pese a haber sido requerido para ello; 2) Haya acumulado el monto máximo de la penalidad por mora o el monto máximo para otras penalidades, en la ejecución de la prestación a su cargo; y 3) Paralice o reduzca injustificadamente la ejecución de la prestación, pese a haber sido requerido para corregir tal situación.</w:t>
      </w:r>
    </w:p>
    <w:p w:rsidR="00161C60" w:rsidRPr="00161C60" w:rsidRDefault="00161C60" w:rsidP="00161C60">
      <w:pPr>
        <w:pStyle w:val="Prrafodelista"/>
        <w:jc w:val="both"/>
        <w:rPr>
          <w:rFonts w:ascii="Tahoma" w:hAnsi="Tahoma" w:cs="Tahoma"/>
        </w:rPr>
      </w:pPr>
    </w:p>
    <w:p w:rsidR="00161C60" w:rsidRPr="00161C60" w:rsidRDefault="00161C60" w:rsidP="00161C60">
      <w:pPr>
        <w:pStyle w:val="Prrafodelista"/>
        <w:numPr>
          <w:ilvl w:val="0"/>
          <w:numId w:val="4"/>
        </w:numPr>
        <w:ind w:left="567" w:hanging="567"/>
        <w:jc w:val="both"/>
        <w:rPr>
          <w:rFonts w:ascii="Tahoma" w:hAnsi="Tahoma" w:cs="Tahoma"/>
        </w:rPr>
      </w:pPr>
      <w:r w:rsidRPr="00161C60">
        <w:rPr>
          <w:rFonts w:ascii="Tahoma" w:hAnsi="Tahoma" w:cs="Tahoma"/>
        </w:rPr>
        <w:t xml:space="preserve">Ahora bien, el procedimiento de resolución contractual, cuya observancia es condición necesaria para evaluar la existencia de eventuales responsabilidades de carácter administrativo, se encuentra previsto en el artículo 169 del Reglamento, según el cual en caso de incumplimiento contractual de una de las partes involucradas, la parte que resulte perjudicada con tal hecho requerirá a la otra notarialmente para que satisfaga sus obligaciones en un plazo no mayor de cinco (5) días, bajo apercibimiento de resolver el contrato. De continuar el incumplimiento contractual, la citada disposición reglamentaria precisa que la parte perjudicada comunicará notarialmente la resolución total o parcial del contrato. </w:t>
      </w:r>
    </w:p>
    <w:p w:rsidR="00161C60" w:rsidRPr="00161C60" w:rsidRDefault="00161C60" w:rsidP="00161C60">
      <w:pPr>
        <w:pStyle w:val="Prrafodelista"/>
        <w:jc w:val="both"/>
        <w:rPr>
          <w:rFonts w:ascii="Tahoma" w:hAnsi="Tahoma" w:cs="Tahoma"/>
        </w:rPr>
      </w:pPr>
    </w:p>
    <w:p w:rsidR="00161C60" w:rsidRPr="00161C60" w:rsidRDefault="00161C60" w:rsidP="00161C60">
      <w:pPr>
        <w:pStyle w:val="Prrafodelista"/>
        <w:numPr>
          <w:ilvl w:val="0"/>
          <w:numId w:val="4"/>
        </w:numPr>
        <w:ind w:left="567" w:hanging="567"/>
        <w:jc w:val="both"/>
        <w:rPr>
          <w:rFonts w:ascii="Tahoma" w:hAnsi="Tahoma" w:cs="Tahoma"/>
        </w:rPr>
      </w:pPr>
      <w:r w:rsidRPr="00161C60">
        <w:rPr>
          <w:rFonts w:ascii="Tahoma" w:hAnsi="Tahoma" w:cs="Tahoma"/>
        </w:rPr>
        <w:t>De la lectura de las disposiciones glosadas y conforme a los criterios utilizados por el Tribunal en anteriores oportunidades, para que la infracción imputada se configure, es menester que la Entidad, efectivamente, haya resuelto el contrato conforme al procedimiento descrito. De esta manera, aún en los casos en los que se hayan generado incumplimientos contractuales, si se logra verificar que la Entidad no ha resuelto el contrato en observancia de las normas citadas, la conducta no será pasible de sanción.</w:t>
      </w:r>
    </w:p>
    <w:p w:rsidR="00161C60" w:rsidRPr="00161C60" w:rsidRDefault="00161C60" w:rsidP="00161C60">
      <w:pPr>
        <w:pStyle w:val="Prrafodelista"/>
        <w:jc w:val="both"/>
        <w:rPr>
          <w:rFonts w:ascii="Tahoma" w:hAnsi="Tahoma" w:cs="Tahoma"/>
        </w:rPr>
      </w:pPr>
    </w:p>
    <w:p w:rsidR="00161C60" w:rsidRPr="00161C60" w:rsidRDefault="00161C60" w:rsidP="00161C60">
      <w:pPr>
        <w:pStyle w:val="Prrafodelista"/>
        <w:numPr>
          <w:ilvl w:val="0"/>
          <w:numId w:val="4"/>
        </w:numPr>
        <w:ind w:left="567" w:hanging="567"/>
        <w:jc w:val="both"/>
        <w:rPr>
          <w:rFonts w:ascii="Tahoma" w:hAnsi="Tahoma" w:cs="Tahoma"/>
        </w:rPr>
      </w:pPr>
      <w:r w:rsidRPr="00161C60">
        <w:rPr>
          <w:rFonts w:ascii="Tahoma" w:hAnsi="Tahoma" w:cs="Tahoma"/>
        </w:rPr>
        <w:lastRenderedPageBreak/>
        <w:t>Este criterio, además, ha sido recogido en el Acuerdo de Sala Plena № 018/010 del 4 de setiembre de 2002</w:t>
      </w:r>
      <w:r w:rsidRPr="00161C60">
        <w:rPr>
          <w:rStyle w:val="Refdenotaalpie"/>
          <w:rFonts w:ascii="Tahoma" w:hAnsi="Tahoma" w:cs="Tahoma"/>
        </w:rPr>
        <w:footnoteReference w:id="4"/>
      </w:r>
      <w:r w:rsidRPr="00161C60">
        <w:rPr>
          <w:rFonts w:ascii="Tahoma" w:hAnsi="Tahoma" w:cs="Tahoma"/>
        </w:rPr>
        <w:t>, en el que el Tribunal expresamente dispuso que, para la imposición de sanción por la causal que nos ocupa, las Entidades denunciantes deberán presentar la documentación que acredite haber dado cumplimiento al procedimiento de resolución antes expuesto, es decir el envío de la carta notarial de requerimiento previo al Contratista para el cumplimiento de la obligación y la carta notarial mediante la cual se le comunica el Acuerdo o Resolución que resuelve el contrato, agregando que en caso de no habérsele requerido o cuando, habiendo sido solicitados los documentos acreditativos por el Tribunal, estos no hubiesen sido presentados, se declarará no ha lugar al inicio del procedimiento administrativo sancionador, disponiéndose el archivamiento del expediente, al haberse incumplido con el debido procedimiento.</w:t>
      </w:r>
    </w:p>
    <w:p w:rsidR="00161C60" w:rsidRPr="00161C60" w:rsidRDefault="00161C60" w:rsidP="00161C60">
      <w:pPr>
        <w:pStyle w:val="Prrafodelista"/>
        <w:jc w:val="both"/>
        <w:rPr>
          <w:rFonts w:ascii="Tahoma" w:hAnsi="Tahoma" w:cs="Tahoma"/>
        </w:rPr>
      </w:pPr>
    </w:p>
    <w:p w:rsidR="00161C60" w:rsidRPr="00161C60" w:rsidRDefault="00161C60" w:rsidP="00161C60">
      <w:pPr>
        <w:pStyle w:val="Prrafodelista"/>
        <w:numPr>
          <w:ilvl w:val="0"/>
          <w:numId w:val="4"/>
        </w:numPr>
        <w:ind w:left="567" w:hanging="567"/>
        <w:jc w:val="both"/>
        <w:rPr>
          <w:rFonts w:ascii="Tahoma" w:hAnsi="Tahoma" w:cs="Tahoma"/>
        </w:rPr>
      </w:pPr>
      <w:r w:rsidRPr="00161C60">
        <w:rPr>
          <w:rFonts w:ascii="Tahoma" w:hAnsi="Tahoma" w:cs="Tahoma"/>
        </w:rPr>
        <w:t xml:space="preserve">En ese orden de ideas, corresponde determinar de manera previa si la Entidad ha seguido el debido procedimiento para la resolución de la citada orden de compra, conforme a lo previsto en los artículos 168 y 169 del Reglamento. </w:t>
      </w:r>
    </w:p>
    <w:p w:rsidR="00161C60" w:rsidRPr="00161C60" w:rsidRDefault="00161C60" w:rsidP="00161C60">
      <w:pPr>
        <w:pStyle w:val="Prrafodelista"/>
        <w:jc w:val="both"/>
        <w:rPr>
          <w:rFonts w:ascii="Tahoma" w:hAnsi="Tahoma" w:cs="Tahoma"/>
        </w:rPr>
      </w:pPr>
    </w:p>
    <w:p w:rsidR="00161C60" w:rsidRPr="00161C60" w:rsidRDefault="00161C60" w:rsidP="00161C60">
      <w:pPr>
        <w:pStyle w:val="Prrafodelista"/>
        <w:numPr>
          <w:ilvl w:val="0"/>
          <w:numId w:val="4"/>
        </w:numPr>
        <w:ind w:left="567" w:hanging="567"/>
        <w:jc w:val="both"/>
        <w:rPr>
          <w:rFonts w:ascii="Tahoma" w:hAnsi="Tahoma" w:cs="Tahoma"/>
        </w:rPr>
      </w:pPr>
      <w:r w:rsidRPr="00161C60">
        <w:rPr>
          <w:rFonts w:ascii="Tahoma" w:hAnsi="Tahoma" w:cs="Tahoma"/>
        </w:rPr>
        <w:t>Sobre el particular, de la documentación obrante en autos, se observa que la Entidad remitió al Contratista, vía conducto notarial, dos (2) comunicaciones:</w:t>
      </w:r>
    </w:p>
    <w:p w:rsidR="00161C60" w:rsidRPr="00161C60" w:rsidRDefault="00161C60" w:rsidP="00161C60">
      <w:pPr>
        <w:pStyle w:val="Prrafodelista"/>
        <w:jc w:val="both"/>
        <w:rPr>
          <w:rFonts w:ascii="Tahoma" w:hAnsi="Tahoma" w:cs="Tahoma"/>
        </w:rPr>
      </w:pPr>
    </w:p>
    <w:p w:rsidR="00161C60" w:rsidRPr="00161C60" w:rsidRDefault="00161C60" w:rsidP="00161C60">
      <w:pPr>
        <w:numPr>
          <w:ilvl w:val="0"/>
          <w:numId w:val="27"/>
        </w:numPr>
        <w:tabs>
          <w:tab w:val="clear" w:pos="360"/>
          <w:tab w:val="num" w:pos="1276"/>
        </w:tabs>
        <w:ind w:left="1276" w:hanging="567"/>
        <w:jc w:val="both"/>
        <w:rPr>
          <w:rFonts w:ascii="Tahoma" w:hAnsi="Tahoma" w:cs="Tahoma"/>
          <w:sz w:val="20"/>
          <w:szCs w:val="20"/>
        </w:rPr>
      </w:pPr>
      <w:r w:rsidRPr="00161C60">
        <w:rPr>
          <w:rFonts w:ascii="Tahoma" w:hAnsi="Tahoma" w:cs="Tahoma"/>
          <w:sz w:val="20"/>
          <w:szCs w:val="20"/>
        </w:rPr>
        <w:t>A través de la Carta notarial de fecha 27 de agosto de 2010, notificada el 01 de septiembre del mismo año, la Entidad comunicó al Consorcio que habiéndose vencido el plazo para la entrega de los bienes ofertados, le otorgaba un plazo de dos (02) días a fin de que cumpla con sus obligaciones contractuales, bajo apercibimiento de resolver el Contrato № 005-2010-RMO; precisando que de continuar con el incumplimiento se procedería a la resolución contractual.</w:t>
      </w:r>
    </w:p>
    <w:p w:rsidR="00161C60" w:rsidRPr="00161C60" w:rsidRDefault="00161C60" w:rsidP="00161C60">
      <w:pPr>
        <w:pStyle w:val="Prrafodelista"/>
        <w:jc w:val="both"/>
        <w:rPr>
          <w:rFonts w:ascii="Tahoma" w:hAnsi="Tahoma" w:cs="Tahoma"/>
        </w:rPr>
      </w:pPr>
    </w:p>
    <w:p w:rsidR="00161C60" w:rsidRPr="00161C60" w:rsidRDefault="00161C60" w:rsidP="00161C60">
      <w:pPr>
        <w:numPr>
          <w:ilvl w:val="0"/>
          <w:numId w:val="27"/>
        </w:numPr>
        <w:tabs>
          <w:tab w:val="clear" w:pos="360"/>
          <w:tab w:val="num" w:pos="1276"/>
        </w:tabs>
        <w:ind w:left="1276" w:hanging="567"/>
        <w:jc w:val="both"/>
        <w:rPr>
          <w:rFonts w:ascii="Tahoma" w:hAnsi="Tahoma" w:cs="Tahoma"/>
          <w:sz w:val="20"/>
          <w:szCs w:val="20"/>
        </w:rPr>
      </w:pPr>
      <w:r w:rsidRPr="00161C60">
        <w:rPr>
          <w:rFonts w:ascii="Tahoma" w:hAnsi="Tahoma" w:cs="Tahoma"/>
          <w:sz w:val="20"/>
          <w:szCs w:val="20"/>
        </w:rPr>
        <w:t>Habiéndose vencido el plazo otorgado, sin que el Consorcio cumpliera con los requerimientos formulados, a través de la Carta Notarial de fecha 04 de septiembre de 2010, diligenciada el 07 del mismo mes y año, la Entidad comunicó al Contratista la resolución del vínculo contractual, por causal atribuible a su parte.</w:t>
      </w:r>
    </w:p>
    <w:p w:rsidR="00161C60" w:rsidRPr="00161C60" w:rsidRDefault="00161C60" w:rsidP="00161C60">
      <w:pPr>
        <w:pStyle w:val="Prrafodelista"/>
        <w:ind w:left="567"/>
        <w:jc w:val="both"/>
        <w:rPr>
          <w:rFonts w:ascii="Tahoma" w:hAnsi="Tahoma" w:cs="Tahoma"/>
        </w:rPr>
      </w:pPr>
    </w:p>
    <w:p w:rsidR="00161C60" w:rsidRPr="00161C60" w:rsidRDefault="00161C60" w:rsidP="00161C60">
      <w:pPr>
        <w:pStyle w:val="Textoindependiente"/>
        <w:widowControl w:val="0"/>
        <w:numPr>
          <w:ilvl w:val="0"/>
          <w:numId w:val="4"/>
        </w:numPr>
        <w:suppressAutoHyphens/>
        <w:spacing w:after="0"/>
        <w:ind w:left="567" w:hanging="567"/>
        <w:jc w:val="both"/>
        <w:rPr>
          <w:rFonts w:ascii="Tahoma" w:hAnsi="Tahoma" w:cs="Tahoma"/>
          <w:sz w:val="20"/>
          <w:szCs w:val="20"/>
        </w:rPr>
      </w:pPr>
      <w:r w:rsidRPr="00161C60">
        <w:rPr>
          <w:rFonts w:ascii="Tahoma" w:hAnsi="Tahoma" w:cs="Tahoma"/>
          <w:sz w:val="20"/>
          <w:szCs w:val="20"/>
        </w:rPr>
        <w:t>En tal sentido, se verifica que la Entidad ha observado la formalidad establecida en el artículo 168 y 169 del Reglamento, requisito indispensable de verificación del cumplimiento del debido procedimiento de resolución de contrato, a fin que la acción del Consorcio al haber incumplido sus obligaciones contractuales -que dio lugar a la resolución del contrato por causa atribuible a su parte- sea típica.</w:t>
      </w:r>
    </w:p>
    <w:p w:rsidR="00161C60" w:rsidRPr="00161C60" w:rsidRDefault="00161C60" w:rsidP="00161C60">
      <w:pPr>
        <w:pStyle w:val="Prrafodelista"/>
        <w:jc w:val="both"/>
        <w:rPr>
          <w:rFonts w:ascii="Tahoma" w:hAnsi="Tahoma" w:cs="Tahoma"/>
        </w:rPr>
      </w:pPr>
    </w:p>
    <w:p w:rsidR="00161C60" w:rsidRPr="00161C60" w:rsidRDefault="00161C60" w:rsidP="00161C60">
      <w:pPr>
        <w:pStyle w:val="Textoindependiente"/>
        <w:widowControl w:val="0"/>
        <w:numPr>
          <w:ilvl w:val="0"/>
          <w:numId w:val="4"/>
        </w:numPr>
        <w:suppressAutoHyphens/>
        <w:spacing w:after="0"/>
        <w:ind w:left="567" w:hanging="567"/>
        <w:jc w:val="both"/>
        <w:rPr>
          <w:rFonts w:ascii="Tahoma" w:hAnsi="Tahoma" w:cs="Tahoma"/>
          <w:sz w:val="20"/>
          <w:szCs w:val="20"/>
        </w:rPr>
      </w:pPr>
      <w:r w:rsidRPr="00161C60">
        <w:rPr>
          <w:rFonts w:ascii="Tahoma" w:hAnsi="Tahoma" w:cs="Tahoma"/>
          <w:sz w:val="20"/>
          <w:szCs w:val="20"/>
        </w:rPr>
        <w:t>Al respecto, es importante señalar que según lo informado por la Entidad en su Oficio № 074/NC/ABASTO/DELOG-RMO de fecha 30 de noviembre de 2010, la resolución del contrato no fue discutida por el Consorcio en vía de conciliación o arbitraje dentro de los plazos indicados en el artículo 170 del Reglamento, por lo que, en atención a lo dispuesto en la citada norma, la misma quedó consentida.</w:t>
      </w:r>
    </w:p>
    <w:p w:rsidR="00161C60" w:rsidRPr="00161C60" w:rsidRDefault="00161C60" w:rsidP="00161C60">
      <w:pPr>
        <w:pStyle w:val="Prrafodelista"/>
        <w:jc w:val="both"/>
        <w:rPr>
          <w:rFonts w:ascii="Tahoma" w:hAnsi="Tahoma" w:cs="Tahoma"/>
        </w:rPr>
      </w:pPr>
    </w:p>
    <w:p w:rsidR="00161C60" w:rsidRPr="00161C60" w:rsidRDefault="00161C60" w:rsidP="00161C60">
      <w:pPr>
        <w:pStyle w:val="Textoindependiente"/>
        <w:widowControl w:val="0"/>
        <w:numPr>
          <w:ilvl w:val="0"/>
          <w:numId w:val="4"/>
        </w:numPr>
        <w:suppressAutoHyphens/>
        <w:spacing w:after="0"/>
        <w:ind w:left="567" w:hanging="567"/>
        <w:jc w:val="both"/>
        <w:rPr>
          <w:rFonts w:ascii="Tahoma" w:hAnsi="Tahoma" w:cs="Tahoma"/>
          <w:sz w:val="20"/>
          <w:szCs w:val="20"/>
        </w:rPr>
      </w:pPr>
      <w:r w:rsidRPr="00161C60">
        <w:rPr>
          <w:rFonts w:ascii="Tahoma" w:hAnsi="Tahoma" w:cs="Tahoma"/>
          <w:sz w:val="20"/>
          <w:szCs w:val="20"/>
        </w:rPr>
        <w:lastRenderedPageBreak/>
        <w:t>En consecuencia, corresponde a este colegiado determinar si la resolución del contrato se originó por causa imputable al Consorcio o no.</w:t>
      </w:r>
    </w:p>
    <w:p w:rsidR="00161C60" w:rsidRPr="00161C60" w:rsidRDefault="00161C60" w:rsidP="00161C60">
      <w:pPr>
        <w:pStyle w:val="Prrafodelista"/>
        <w:jc w:val="both"/>
        <w:rPr>
          <w:rFonts w:ascii="Tahoma" w:hAnsi="Tahoma" w:cs="Tahoma"/>
        </w:rPr>
      </w:pPr>
    </w:p>
    <w:p w:rsidR="00161C60" w:rsidRPr="00161C60" w:rsidRDefault="00161C60" w:rsidP="00161C60">
      <w:pPr>
        <w:pStyle w:val="Textoindependiente"/>
        <w:widowControl w:val="0"/>
        <w:numPr>
          <w:ilvl w:val="0"/>
          <w:numId w:val="4"/>
        </w:numPr>
        <w:suppressAutoHyphens/>
        <w:spacing w:after="0"/>
        <w:ind w:left="567" w:hanging="567"/>
        <w:jc w:val="both"/>
        <w:rPr>
          <w:rFonts w:ascii="Tahoma" w:hAnsi="Tahoma" w:cs="Tahoma"/>
          <w:sz w:val="20"/>
          <w:szCs w:val="20"/>
        </w:rPr>
      </w:pPr>
      <w:r w:rsidRPr="00161C60">
        <w:rPr>
          <w:rFonts w:ascii="Tahoma" w:hAnsi="Tahoma" w:cs="Tahoma"/>
          <w:sz w:val="20"/>
          <w:szCs w:val="20"/>
        </w:rPr>
        <w:t>Conforme a lo establecido en el artículo 49 de la Ley, los contratistas están obligados a cumplir cabalmente con lo ofrecido en su propuesta y en cualquier manifestación formal documentada, que hayan aportado adicionalmente en el curso del proceso de selección o en la formalización del contrato. En esta misma línea, el artículo 142 del Reglamento prevé que el contrato es obligatorio para las partes que lo suscriben.</w:t>
      </w:r>
    </w:p>
    <w:p w:rsidR="00161C60" w:rsidRPr="00161C60" w:rsidRDefault="00161C60" w:rsidP="00161C60">
      <w:pPr>
        <w:pStyle w:val="Prrafodelista"/>
        <w:jc w:val="both"/>
        <w:rPr>
          <w:rFonts w:ascii="Tahoma" w:hAnsi="Tahoma" w:cs="Tahoma"/>
        </w:rPr>
      </w:pPr>
    </w:p>
    <w:p w:rsidR="00161C60" w:rsidRPr="00161C60" w:rsidRDefault="00161C60" w:rsidP="00161C60">
      <w:pPr>
        <w:pStyle w:val="Prrafodelista"/>
        <w:numPr>
          <w:ilvl w:val="0"/>
          <w:numId w:val="4"/>
        </w:numPr>
        <w:ind w:left="567" w:hanging="567"/>
        <w:jc w:val="both"/>
        <w:rPr>
          <w:rFonts w:ascii="Tahoma" w:hAnsi="Tahoma" w:cs="Tahoma"/>
        </w:rPr>
      </w:pPr>
      <w:r w:rsidRPr="00161C60">
        <w:rPr>
          <w:rFonts w:ascii="Tahoma" w:hAnsi="Tahoma" w:cs="Tahoma"/>
        </w:rPr>
        <w:t>En el presente caso, se desprende de los actuados que el Consorcio, pese a haber tomado conocimiento de los requerimientos realizados por la Entidad, referidos al incumplimiento de sus obligaciones contractuales, no habría cumplido internar los bienes objeto del Contrato № 005-2010-RMO de fecha 15 de abril de 2010, hecho que ha desencadenado la resolución del mismo.</w:t>
      </w:r>
    </w:p>
    <w:p w:rsidR="00161C60" w:rsidRPr="00161C60" w:rsidRDefault="00161C60" w:rsidP="00161C60">
      <w:pPr>
        <w:pStyle w:val="Prrafodelista"/>
        <w:jc w:val="both"/>
        <w:rPr>
          <w:rFonts w:ascii="Tahoma" w:hAnsi="Tahoma" w:cs="Tahoma"/>
        </w:rPr>
      </w:pPr>
    </w:p>
    <w:p w:rsidR="00161C60" w:rsidRPr="00161C60" w:rsidRDefault="00161C60" w:rsidP="00161C60">
      <w:pPr>
        <w:pStyle w:val="Textoindependiente"/>
        <w:widowControl w:val="0"/>
        <w:numPr>
          <w:ilvl w:val="0"/>
          <w:numId w:val="4"/>
        </w:numPr>
        <w:suppressAutoHyphens/>
        <w:spacing w:after="0"/>
        <w:ind w:left="567" w:hanging="567"/>
        <w:contextualSpacing/>
        <w:jc w:val="both"/>
        <w:rPr>
          <w:rFonts w:ascii="Tahoma" w:hAnsi="Tahoma" w:cs="Tahoma"/>
          <w:sz w:val="20"/>
          <w:szCs w:val="20"/>
        </w:rPr>
      </w:pPr>
      <w:r w:rsidRPr="00161C60">
        <w:rPr>
          <w:rFonts w:ascii="Tahoma" w:hAnsi="Tahoma" w:cs="Tahoma"/>
          <w:sz w:val="20"/>
          <w:szCs w:val="20"/>
        </w:rPr>
        <w:t>Fluye de los antecedentes administrativos que el Contrato № 005-2010-RMO tenía como objeto el suministro de artículos para el funcionamiento del Batallón de Reserva de la Entidad. Asimismo, en la Cláusula Tercera del contrato se estipuló que los bienes deberán ser entregados en el plazo de un (01) día de recepcionada la respectiva orden de compra.</w:t>
      </w:r>
    </w:p>
    <w:p w:rsidR="00161C60" w:rsidRPr="00161C60" w:rsidRDefault="00161C60" w:rsidP="00161C60">
      <w:pPr>
        <w:pStyle w:val="Prrafodelista"/>
        <w:jc w:val="both"/>
        <w:rPr>
          <w:rFonts w:ascii="Tahoma" w:hAnsi="Tahoma" w:cs="Tahoma"/>
        </w:rPr>
      </w:pPr>
    </w:p>
    <w:p w:rsidR="00161C60" w:rsidRPr="00161C60" w:rsidRDefault="00161C60" w:rsidP="00161C60">
      <w:pPr>
        <w:ind w:left="567"/>
        <w:jc w:val="both"/>
        <w:rPr>
          <w:rFonts w:ascii="Tahoma" w:hAnsi="Tahoma" w:cs="Tahoma"/>
          <w:b/>
          <w:sz w:val="20"/>
          <w:szCs w:val="20"/>
        </w:rPr>
      </w:pPr>
      <w:r w:rsidRPr="00161C60">
        <w:rPr>
          <w:rFonts w:ascii="Tahoma" w:hAnsi="Tahoma" w:cs="Tahoma"/>
          <w:sz w:val="20"/>
          <w:szCs w:val="20"/>
        </w:rPr>
        <w:t xml:space="preserve">En atención a ello, el 23 de agosto de 2010, la Entidad remitió las Órdenes de Compra № 00216, № 00217, № 00268, № 00269, № 00270, № 00271, № 00272, № 00273, № 00274, № 00275, № 00276, № 00278, № 00279, № 00280, № 00281, № 00282, № 00283, № 00284, № 00285, № 00286, № 00287, № 00288 y № 00289,  al domicilio sito en </w:t>
      </w:r>
      <w:r w:rsidRPr="00161C60">
        <w:rPr>
          <w:rFonts w:ascii="Tahoma" w:hAnsi="Tahoma" w:cs="Tahoma"/>
          <w:b/>
          <w:i/>
          <w:sz w:val="20"/>
          <w:szCs w:val="20"/>
        </w:rPr>
        <w:t>Av. Del Ejercito № 1855, Morona Cocha, Iquitos</w:t>
      </w:r>
      <w:r w:rsidRPr="00161C60">
        <w:rPr>
          <w:rFonts w:ascii="Tahoma" w:hAnsi="Tahoma" w:cs="Tahoma"/>
          <w:sz w:val="20"/>
          <w:szCs w:val="20"/>
        </w:rPr>
        <w:t>.</w:t>
      </w:r>
    </w:p>
    <w:p w:rsidR="00161C60" w:rsidRPr="00161C60" w:rsidRDefault="00161C60" w:rsidP="00161C60">
      <w:pPr>
        <w:pStyle w:val="Textoindependiente"/>
        <w:widowControl w:val="0"/>
        <w:suppressAutoHyphens/>
        <w:ind w:left="567"/>
        <w:contextualSpacing/>
        <w:jc w:val="both"/>
        <w:rPr>
          <w:rFonts w:ascii="Tahoma" w:hAnsi="Tahoma" w:cs="Tahoma"/>
          <w:sz w:val="20"/>
          <w:szCs w:val="20"/>
        </w:rPr>
      </w:pPr>
    </w:p>
    <w:p w:rsidR="00161C60" w:rsidRPr="00161C60" w:rsidRDefault="00161C60" w:rsidP="00161C60">
      <w:pPr>
        <w:numPr>
          <w:ilvl w:val="0"/>
          <w:numId w:val="4"/>
        </w:numPr>
        <w:ind w:left="567" w:hanging="567"/>
        <w:jc w:val="both"/>
        <w:rPr>
          <w:rFonts w:ascii="Tahoma" w:hAnsi="Tahoma" w:cs="Tahoma"/>
          <w:sz w:val="20"/>
          <w:szCs w:val="20"/>
        </w:rPr>
      </w:pPr>
      <w:r w:rsidRPr="00161C60">
        <w:rPr>
          <w:rFonts w:ascii="Tahoma" w:hAnsi="Tahoma" w:cs="Tahoma"/>
          <w:sz w:val="20"/>
          <w:szCs w:val="20"/>
          <w:lang w:val="es-MX"/>
        </w:rPr>
        <w:t xml:space="preserve">Llegados a este punto y </w:t>
      </w:r>
      <w:r w:rsidRPr="00161C60">
        <w:rPr>
          <w:rFonts w:ascii="Tahoma" w:hAnsi="Tahoma" w:cs="Tahoma"/>
          <w:sz w:val="20"/>
          <w:szCs w:val="20"/>
        </w:rPr>
        <w:t xml:space="preserve">en virtud al derecho de defensa que ampara a los administrados, el Consorcio manifestó </w:t>
      </w:r>
      <w:r w:rsidRPr="00161C60">
        <w:rPr>
          <w:rFonts w:ascii="Tahoma" w:hAnsi="Tahoma" w:cs="Tahoma"/>
          <w:sz w:val="20"/>
          <w:szCs w:val="20"/>
          <w:lang w:val="es-MX"/>
        </w:rPr>
        <w:t xml:space="preserve">en su escrito de descargos que, </w:t>
      </w:r>
      <w:r w:rsidRPr="00161C60">
        <w:rPr>
          <w:rFonts w:ascii="Tahoma" w:hAnsi="Tahoma" w:cs="Tahoma"/>
          <w:sz w:val="20"/>
          <w:szCs w:val="20"/>
        </w:rPr>
        <w:t xml:space="preserve">las órdenes de compra emitidas por la Entidad, no fueron remitidas al domicilio legal ubicado en </w:t>
      </w:r>
      <w:r w:rsidRPr="00161C60">
        <w:rPr>
          <w:rFonts w:ascii="Tahoma" w:hAnsi="Tahoma" w:cs="Tahoma"/>
          <w:b/>
          <w:sz w:val="20"/>
          <w:szCs w:val="20"/>
        </w:rPr>
        <w:t>Calle Atahualpa № 577, Iquitos</w:t>
      </w:r>
      <w:r w:rsidRPr="00161C60">
        <w:rPr>
          <w:rStyle w:val="Refdenotaalpie"/>
          <w:rFonts w:ascii="Tahoma" w:hAnsi="Tahoma" w:cs="Tahoma"/>
          <w:b/>
          <w:sz w:val="20"/>
          <w:szCs w:val="20"/>
        </w:rPr>
        <w:footnoteReference w:id="5"/>
      </w:r>
      <w:r w:rsidRPr="00161C60">
        <w:rPr>
          <w:rFonts w:ascii="Tahoma" w:hAnsi="Tahoma" w:cs="Tahoma"/>
          <w:sz w:val="20"/>
          <w:szCs w:val="20"/>
        </w:rPr>
        <w:t xml:space="preserve">, el mismo que fuera consignado en el Contrato № 005-2010-RMO, sino por el contrario fueron notificadas en el domicilio sito en: Av. Del Ejercito № 1855, Morona Cocha, Iquitos. Razón por la cual, su representada no tuvo conocimiento de las órdenes de compra, y poder así dar cumplimiento a las mismas, toda vez que las citadas órdenes de compra no fueron recepcionadas por el representante legal del consorcio, en el domicilio consignado en el contrato. </w:t>
      </w:r>
    </w:p>
    <w:p w:rsidR="00161C60" w:rsidRPr="00161C60" w:rsidRDefault="00161C60" w:rsidP="00161C60">
      <w:pPr>
        <w:pStyle w:val="Prrafodelista"/>
        <w:jc w:val="both"/>
        <w:rPr>
          <w:rFonts w:ascii="Tahoma" w:hAnsi="Tahoma" w:cs="Tahoma"/>
        </w:rPr>
      </w:pPr>
    </w:p>
    <w:p w:rsidR="00161C60" w:rsidRPr="00161C60" w:rsidRDefault="00161C60" w:rsidP="00161C60">
      <w:pPr>
        <w:ind w:left="567"/>
        <w:jc w:val="both"/>
        <w:rPr>
          <w:rFonts w:ascii="Tahoma" w:hAnsi="Tahoma" w:cs="Tahoma"/>
          <w:sz w:val="20"/>
          <w:szCs w:val="20"/>
        </w:rPr>
      </w:pPr>
      <w:r w:rsidRPr="00161C60">
        <w:rPr>
          <w:rFonts w:ascii="Tahoma" w:hAnsi="Tahoma" w:cs="Tahoma"/>
          <w:sz w:val="20"/>
          <w:szCs w:val="20"/>
        </w:rPr>
        <w:t>Adicionalmente a ello, y con ocasión a su apersonamiento ante este Tribunal, el Consorcio exhibió como medio probatorio, la Declaración Jurada de fecha 03 de febrero de 2011, suscrita por la señora Karina Llerena Peña, la cual manifestó que las órdenes de compra fueron recepcionadas por su persona en el domicilio sito en: Av. Del Ejercito № 1855, Morona Cocha, Iquitos.</w:t>
      </w:r>
    </w:p>
    <w:p w:rsidR="00161C60" w:rsidRPr="00161C60" w:rsidRDefault="00161C60" w:rsidP="00161C60">
      <w:pPr>
        <w:ind w:left="567"/>
        <w:jc w:val="both"/>
        <w:rPr>
          <w:rFonts w:ascii="Tahoma" w:hAnsi="Tahoma" w:cs="Tahoma"/>
          <w:sz w:val="20"/>
          <w:szCs w:val="20"/>
        </w:rPr>
      </w:pPr>
    </w:p>
    <w:p w:rsidR="00161C60" w:rsidRPr="00161C60" w:rsidRDefault="00161C60" w:rsidP="00161C60">
      <w:pPr>
        <w:pStyle w:val="Prrafodelista"/>
        <w:numPr>
          <w:ilvl w:val="0"/>
          <w:numId w:val="4"/>
        </w:numPr>
        <w:ind w:left="567" w:hanging="720"/>
        <w:contextualSpacing w:val="0"/>
        <w:jc w:val="both"/>
        <w:rPr>
          <w:rFonts w:ascii="Tahoma" w:hAnsi="Tahoma" w:cs="Tahoma"/>
        </w:rPr>
      </w:pPr>
      <w:r w:rsidRPr="00161C60">
        <w:rPr>
          <w:rFonts w:ascii="Tahoma" w:hAnsi="Tahoma" w:cs="Tahoma"/>
          <w:lang w:val="es-PE"/>
        </w:rPr>
        <w:t xml:space="preserve">Sobre el particular, cabe precisar que en reiteradas oportunidades este Tribunal ha requerido a la Entidad informar si las Órdenes de Compra № 00216, № 00217, № 00268, </w:t>
      </w:r>
      <w:r w:rsidRPr="00161C60">
        <w:rPr>
          <w:rFonts w:ascii="Tahoma" w:hAnsi="Tahoma" w:cs="Tahoma"/>
          <w:lang w:val="es-PE"/>
        </w:rPr>
        <w:lastRenderedPageBreak/>
        <w:t>№ 00269, № 00270, № 00271, № 00272, № 00273, № 00274, № 00275, № 00276, № 00278, № 00279, № 00280, № 00281, № 00282, № 00283, № 00284, № 00285, № 00286, № 00287, № 00288 y № 00289 fueron dirigidas al domicilio Av. Del Ejercito № 1855, Morona Cocha, Iquitos, y no al domicilio señalado en el Contrato № 005-2010-RMO, sito en Calle Atahualpa № 577, Iquitos. Sin embargo, corre de los actuados, que la Entidad no ha cumplido con los requerimientos realizados por este Tribunal, razón por la cual, corresponde evaluar los argumentos vertidos por el Consorcio durante el presente procedimiento administrativo sancionador.</w:t>
      </w:r>
    </w:p>
    <w:p w:rsidR="00161C60" w:rsidRPr="00161C60" w:rsidRDefault="00161C60" w:rsidP="00161C60">
      <w:pPr>
        <w:ind w:left="567"/>
        <w:jc w:val="both"/>
        <w:rPr>
          <w:rFonts w:ascii="Tahoma" w:hAnsi="Tahoma" w:cs="Tahoma"/>
          <w:sz w:val="20"/>
          <w:szCs w:val="20"/>
          <w:lang w:val="es-MX"/>
        </w:rPr>
      </w:pPr>
    </w:p>
    <w:p w:rsidR="00161C60" w:rsidRPr="00161C60" w:rsidRDefault="00161C60" w:rsidP="00161C60">
      <w:pPr>
        <w:pStyle w:val="Textoindependiente"/>
        <w:widowControl w:val="0"/>
        <w:numPr>
          <w:ilvl w:val="0"/>
          <w:numId w:val="4"/>
        </w:numPr>
        <w:suppressAutoHyphens/>
        <w:spacing w:after="0"/>
        <w:ind w:left="567" w:hanging="567"/>
        <w:jc w:val="both"/>
        <w:rPr>
          <w:rFonts w:ascii="Tahoma" w:hAnsi="Tahoma" w:cs="Tahoma"/>
          <w:sz w:val="20"/>
          <w:szCs w:val="20"/>
        </w:rPr>
      </w:pPr>
      <w:r w:rsidRPr="00161C60">
        <w:rPr>
          <w:rFonts w:ascii="Tahoma" w:hAnsi="Tahoma" w:cs="Tahoma"/>
          <w:sz w:val="20"/>
          <w:szCs w:val="20"/>
        </w:rPr>
        <w:t xml:space="preserve">Ahora bien, a fin de determinar si el Consorcio se encontraba obligado al cumplimiento de las mencionadas órdenes de compra – las cuales fueron requeridas por la Entidad en atención al Contrato № 005-2010-RMO –, habría que determinar si el Consorcio fue debidamente notificada de las mismas. </w:t>
      </w:r>
    </w:p>
    <w:p w:rsidR="00161C60" w:rsidRPr="00161C60" w:rsidRDefault="00161C60" w:rsidP="00161C60">
      <w:pPr>
        <w:pStyle w:val="Textoindependiente"/>
        <w:widowControl w:val="0"/>
        <w:suppressAutoHyphens/>
        <w:ind w:left="567"/>
        <w:jc w:val="both"/>
        <w:rPr>
          <w:rFonts w:ascii="Tahoma" w:hAnsi="Tahoma" w:cs="Tahoma"/>
          <w:sz w:val="20"/>
          <w:szCs w:val="20"/>
        </w:rPr>
      </w:pPr>
    </w:p>
    <w:p w:rsidR="00161C60" w:rsidRPr="00161C60" w:rsidRDefault="00161C60" w:rsidP="00161C60">
      <w:pPr>
        <w:pStyle w:val="Prrafodelista"/>
        <w:numPr>
          <w:ilvl w:val="0"/>
          <w:numId w:val="4"/>
        </w:numPr>
        <w:ind w:left="567" w:hanging="567"/>
        <w:contextualSpacing w:val="0"/>
        <w:jc w:val="both"/>
        <w:rPr>
          <w:rFonts w:ascii="Tahoma" w:hAnsi="Tahoma" w:cs="Tahoma"/>
        </w:rPr>
      </w:pPr>
      <w:r w:rsidRPr="00161C60">
        <w:rPr>
          <w:rFonts w:ascii="Tahoma" w:hAnsi="Tahoma" w:cs="Tahoma"/>
        </w:rPr>
        <w:t xml:space="preserve">Al respecto, de la documentación obrante en autos, se aprecia que las Órdenes de Compra № 00216, № 00217, № 00268, № 00269, № 00270, № 00271, № 00272, № 00273, № 00274, № 00275, № 00276, № 00278, № 00279, № 00280, № 00281, № 00282, № 00283, № 00284, № 00285, № 00286, № 00287, № 00288 y № 00289 fueron dirigidas al domicilio </w:t>
      </w:r>
      <w:r w:rsidRPr="00161C60">
        <w:rPr>
          <w:rFonts w:ascii="Tahoma" w:hAnsi="Tahoma" w:cs="Tahoma"/>
          <w:b/>
          <w:i/>
        </w:rPr>
        <w:t>Av. Del Ejercito № 1855, Morona Cocha, Iquitos,</w:t>
      </w:r>
      <w:r w:rsidRPr="00161C60">
        <w:rPr>
          <w:rFonts w:ascii="Tahoma" w:hAnsi="Tahoma" w:cs="Tahoma"/>
        </w:rPr>
        <w:t xml:space="preserve"> que no fue el señalado en la  promesa formal de consorcio ni el contrato № 005-2010-RMO. Además, de la revisión de dichas órdenes, se desprende que éstas fueron recibidas, por la señora Karina Llerena Peña, la cual manifestó que las órdenes de compra fueron recepcionadas por su persona en el domicilio sito en: </w:t>
      </w:r>
      <w:r w:rsidRPr="00161C60">
        <w:rPr>
          <w:rFonts w:ascii="Tahoma" w:hAnsi="Tahoma" w:cs="Tahoma"/>
          <w:b/>
          <w:i/>
        </w:rPr>
        <w:t>Av. Del Ejercito № 1855, Morona Cocha, Iquitos</w:t>
      </w:r>
      <w:r w:rsidRPr="00161C60">
        <w:rPr>
          <w:rFonts w:ascii="Tahoma" w:hAnsi="Tahoma" w:cs="Tahoma"/>
        </w:rPr>
        <w:t>, tal y como se aprecia de la Declaración Jurada suscrita por ésta, documento que fuese presentado durante el presente procedimiento sancionador.</w:t>
      </w:r>
    </w:p>
    <w:p w:rsidR="00161C60" w:rsidRPr="00161C60" w:rsidRDefault="00161C60" w:rsidP="00161C60">
      <w:pPr>
        <w:pStyle w:val="Prrafodelista"/>
        <w:jc w:val="both"/>
        <w:rPr>
          <w:rFonts w:ascii="Tahoma" w:hAnsi="Tahoma" w:cs="Tahoma"/>
        </w:rPr>
      </w:pPr>
    </w:p>
    <w:p w:rsidR="00161C60" w:rsidRPr="00161C60" w:rsidRDefault="00161C60" w:rsidP="00161C60">
      <w:pPr>
        <w:pStyle w:val="Prrafodelista"/>
        <w:numPr>
          <w:ilvl w:val="0"/>
          <w:numId w:val="4"/>
        </w:numPr>
        <w:ind w:left="567" w:hanging="567"/>
        <w:contextualSpacing w:val="0"/>
        <w:jc w:val="both"/>
        <w:rPr>
          <w:rFonts w:ascii="Tahoma" w:hAnsi="Tahoma" w:cs="Tahoma"/>
        </w:rPr>
      </w:pPr>
      <w:r w:rsidRPr="00161C60">
        <w:rPr>
          <w:rFonts w:ascii="Tahoma" w:hAnsi="Tahoma" w:cs="Tahoma"/>
        </w:rPr>
        <w:t xml:space="preserve">En tal sentido, conviene mencionar que el domicilio legal es entendido como </w:t>
      </w:r>
      <w:r w:rsidRPr="00161C60">
        <w:rPr>
          <w:rFonts w:ascii="Tahoma" w:hAnsi="Tahoma" w:cs="Tahoma"/>
          <w:i/>
        </w:rPr>
        <w:t xml:space="preserve">«el lugar donde la ley presume, sin admitir prueba en contra, que una persona reside de manera permanente </w:t>
      </w:r>
      <w:r w:rsidRPr="00161C60">
        <w:rPr>
          <w:rFonts w:ascii="Tahoma" w:hAnsi="Tahoma" w:cs="Tahoma"/>
          <w:b/>
          <w:i/>
        </w:rPr>
        <w:t>para el ejercicio de sus derechos y cumplimiento de sus obligaciones.</w:t>
      </w:r>
      <w:r w:rsidRPr="00161C60">
        <w:rPr>
          <w:rFonts w:ascii="Tahoma" w:hAnsi="Tahoma" w:cs="Tahoma"/>
          <w:i/>
        </w:rPr>
        <w:t>»</w:t>
      </w:r>
      <w:r w:rsidRPr="00161C60">
        <w:rPr>
          <w:rStyle w:val="Refdenotaalpie"/>
          <w:rFonts w:ascii="Tahoma" w:hAnsi="Tahoma" w:cs="Tahoma"/>
          <w:i/>
        </w:rPr>
        <w:footnoteReference w:id="6"/>
      </w:r>
      <w:r w:rsidRPr="00161C60">
        <w:rPr>
          <w:rFonts w:ascii="Tahoma" w:hAnsi="Tahoma" w:cs="Tahoma"/>
        </w:rPr>
        <w:t>.</w:t>
      </w:r>
    </w:p>
    <w:p w:rsidR="00161C60" w:rsidRPr="00161C60" w:rsidRDefault="00161C60" w:rsidP="00161C60">
      <w:pPr>
        <w:pStyle w:val="Prrafodelista"/>
        <w:jc w:val="both"/>
        <w:rPr>
          <w:rFonts w:ascii="Tahoma" w:hAnsi="Tahoma" w:cs="Tahoma"/>
        </w:rPr>
      </w:pPr>
    </w:p>
    <w:p w:rsidR="00161C60" w:rsidRPr="00161C60" w:rsidRDefault="00161C60" w:rsidP="00161C60">
      <w:pPr>
        <w:pStyle w:val="Prrafodelista"/>
        <w:numPr>
          <w:ilvl w:val="0"/>
          <w:numId w:val="4"/>
        </w:numPr>
        <w:ind w:left="567" w:hanging="567"/>
        <w:contextualSpacing w:val="0"/>
        <w:jc w:val="both"/>
        <w:rPr>
          <w:rFonts w:ascii="Tahoma" w:hAnsi="Tahoma" w:cs="Tahoma"/>
        </w:rPr>
      </w:pPr>
      <w:r w:rsidRPr="00161C60">
        <w:rPr>
          <w:rFonts w:ascii="Tahoma" w:hAnsi="Tahoma" w:cs="Tahoma"/>
        </w:rPr>
        <w:t>De otro lado, cabe precisar, que el artículo 20 de la Ley del Procedimiento Administrativo General</w:t>
      </w:r>
      <w:r w:rsidRPr="00161C60">
        <w:rPr>
          <w:rStyle w:val="Refdenotaalpie"/>
          <w:rFonts w:ascii="Tahoma" w:hAnsi="Tahoma" w:cs="Tahoma"/>
        </w:rPr>
        <w:footnoteReference w:id="7"/>
      </w:r>
      <w:r w:rsidRPr="00161C60">
        <w:rPr>
          <w:rFonts w:ascii="Tahoma" w:hAnsi="Tahoma" w:cs="Tahoma"/>
        </w:rPr>
        <w:t>, Ley 27444, norma aplicable la presente caso, en virtud de lo establecido tanto en el artículo 3 de Ley de Contrataciones y del Estado como en el numeral 2 del Artículo II del Título Preliminar de la mencionada Ley № 27444</w:t>
      </w:r>
      <w:r w:rsidRPr="00161C60">
        <w:rPr>
          <w:rStyle w:val="Refdenotaalpie"/>
          <w:rFonts w:ascii="Tahoma" w:hAnsi="Tahoma" w:cs="Tahoma"/>
        </w:rPr>
        <w:footnoteReference w:id="8"/>
      </w:r>
      <w:r w:rsidRPr="00161C60">
        <w:rPr>
          <w:rFonts w:ascii="Tahoma" w:hAnsi="Tahoma" w:cs="Tahoma"/>
        </w:rPr>
        <w:t xml:space="preserve">, existe un orden de prelación dentro de las modalidades de notificación cuya inobservancia acarrea su nulidad; no obstante lo </w:t>
      </w:r>
      <w:r w:rsidRPr="00161C60">
        <w:rPr>
          <w:rFonts w:ascii="Tahoma" w:hAnsi="Tahoma" w:cs="Tahoma"/>
        </w:rPr>
        <w:lastRenderedPageBreak/>
        <w:t>cual, el mismo texto normativo en su artículo 27 prevé la posibilidad de subsanar una notificación realizada defectuosamente</w:t>
      </w:r>
      <w:r w:rsidRPr="00161C60">
        <w:rPr>
          <w:rStyle w:val="Refdenotaalpie"/>
          <w:rFonts w:ascii="Tahoma" w:hAnsi="Tahoma" w:cs="Tahoma"/>
        </w:rPr>
        <w:footnoteReference w:id="9"/>
      </w:r>
      <w:r w:rsidRPr="00161C60">
        <w:rPr>
          <w:rFonts w:ascii="Tahoma" w:hAnsi="Tahoma" w:cs="Tahoma"/>
        </w:rPr>
        <w:t>. Así, pues, en virtud del último artículo citado, debe entenderse que cualquier conducta del administrado que suponga actuaciones derivadas de la notificación realizada, validará todo defecto en la notificación efectuada. Asimismo, el artículo 21 del mismo cuerpo normativo, establece que la notificación personal se hará en el domicilio que conste en el expediente.</w:t>
      </w:r>
    </w:p>
    <w:p w:rsidR="00161C60" w:rsidRPr="00161C60" w:rsidRDefault="00161C60" w:rsidP="00161C60">
      <w:pPr>
        <w:pStyle w:val="Prrafodelista"/>
        <w:jc w:val="both"/>
        <w:rPr>
          <w:rFonts w:ascii="Tahoma" w:hAnsi="Tahoma" w:cs="Tahoma"/>
        </w:rPr>
      </w:pPr>
    </w:p>
    <w:p w:rsidR="00161C60" w:rsidRPr="00161C60" w:rsidRDefault="00161C60" w:rsidP="00161C60">
      <w:pPr>
        <w:pStyle w:val="Prrafodelista"/>
        <w:numPr>
          <w:ilvl w:val="0"/>
          <w:numId w:val="4"/>
        </w:numPr>
        <w:ind w:left="540" w:hanging="567"/>
        <w:contextualSpacing w:val="0"/>
        <w:jc w:val="both"/>
        <w:rPr>
          <w:rFonts w:ascii="Tahoma" w:hAnsi="Tahoma" w:cs="Tahoma"/>
        </w:rPr>
      </w:pPr>
      <w:r w:rsidRPr="00161C60">
        <w:rPr>
          <w:rFonts w:ascii="Tahoma" w:hAnsi="Tahoma" w:cs="Tahoma"/>
        </w:rPr>
        <w:t>Por lo tanto, este Colegiado advierte por un lado, que las órdenes de compra no fueron cursadas al domicilio consignado en el contrato, lo que no demuestre su efectiva notificación, situación que no hace más que evidenciar que dichos documentos no fueron regularmente puestos en conocimiento del Consorcio conforme al procedimiento previsto en la normativa de la materia, para el cumplimiento efectivo de sus prestaciones a cargo, y por el otro, que se ha constatado fehacientemente que, la notificación realizada por la Entidad no puede ser convalidada a efectos de acreditar el debido procedimiento, toda vez que no hay certeza de cuando fueron comunicadas dichas ordenes, ni que el Consorcio haya tomado conocimiento de las obligaciones estipuladas en las citadas órdenes de manera indubitable que lo obligue a ejecutarlas de manera obligatoria.</w:t>
      </w:r>
    </w:p>
    <w:p w:rsidR="00161C60" w:rsidRPr="00161C60" w:rsidRDefault="00161C60" w:rsidP="00161C60">
      <w:pPr>
        <w:pStyle w:val="Prrafodelista"/>
        <w:jc w:val="both"/>
        <w:rPr>
          <w:rFonts w:ascii="Tahoma" w:hAnsi="Tahoma" w:cs="Tahoma"/>
          <w:lang w:val="es-PE"/>
        </w:rPr>
      </w:pPr>
    </w:p>
    <w:p w:rsidR="00161C60" w:rsidRPr="00161C60" w:rsidRDefault="00161C60" w:rsidP="00161C60">
      <w:pPr>
        <w:pStyle w:val="Prrafodelista"/>
        <w:numPr>
          <w:ilvl w:val="0"/>
          <w:numId w:val="4"/>
        </w:numPr>
        <w:ind w:left="540" w:hanging="567"/>
        <w:contextualSpacing w:val="0"/>
        <w:jc w:val="both"/>
        <w:rPr>
          <w:rFonts w:ascii="Tahoma" w:hAnsi="Tahoma" w:cs="Tahoma"/>
        </w:rPr>
      </w:pPr>
      <w:r w:rsidRPr="00161C60">
        <w:rPr>
          <w:rFonts w:ascii="Tahoma" w:hAnsi="Tahoma" w:cs="Tahoma"/>
          <w:lang w:val="es-PE"/>
        </w:rPr>
        <w:t>A mayor abundamiento</w:t>
      </w:r>
      <w:r w:rsidRPr="00161C60">
        <w:rPr>
          <w:rFonts w:ascii="Tahoma" w:hAnsi="Tahoma" w:cs="Tahoma"/>
        </w:rPr>
        <w:t xml:space="preserve">, se verifica que no obra documento alguno que acredite que el Consorcio varió su domicilio, más aún, si las cartas de requerimiento de obligaciones contractuales y de resolución de contrato fueron debidamente notificadas en </w:t>
      </w:r>
      <w:r w:rsidRPr="00161C60">
        <w:rPr>
          <w:rFonts w:ascii="Tahoma" w:hAnsi="Tahoma" w:cs="Tahoma"/>
          <w:b/>
          <w:i/>
        </w:rPr>
        <w:t>Calle Atahualpa № 577, Iquitos</w:t>
      </w:r>
      <w:r w:rsidRPr="00161C60">
        <w:rPr>
          <w:rFonts w:ascii="Tahoma" w:hAnsi="Tahoma" w:cs="Tahoma"/>
          <w:lang w:val="es-PE"/>
        </w:rPr>
        <w:t xml:space="preserve">, el mismo que fuera consignado por el Consorcio en el </w:t>
      </w:r>
      <w:r w:rsidRPr="00161C60">
        <w:rPr>
          <w:rFonts w:ascii="Tahoma" w:hAnsi="Tahoma" w:cs="Tahoma"/>
        </w:rPr>
        <w:t>Contrato № 005-2010-RMO</w:t>
      </w:r>
      <w:r w:rsidRPr="00161C60">
        <w:rPr>
          <w:rFonts w:ascii="Tahoma" w:hAnsi="Tahoma" w:cs="Tahoma"/>
          <w:lang w:val="es-PE"/>
        </w:rPr>
        <w:t xml:space="preserve">, así como en la Promesa Formal de Consorcio, documentos obrantes en autos, por lo que este Colegiado considera </w:t>
      </w:r>
      <w:r w:rsidRPr="00161C60">
        <w:rPr>
          <w:rFonts w:ascii="Tahoma" w:hAnsi="Tahoma" w:cs="Tahoma"/>
        </w:rPr>
        <w:t>que la resolución del contrato de fecha 15 de abril de 2010 no estuvo motivada por razones que sean imputables al Consorcio.</w:t>
      </w:r>
    </w:p>
    <w:p w:rsidR="00161C60" w:rsidRPr="00161C60" w:rsidRDefault="00161C60" w:rsidP="00161C60">
      <w:pPr>
        <w:pStyle w:val="Prrafodelista"/>
        <w:jc w:val="both"/>
        <w:rPr>
          <w:rFonts w:ascii="Tahoma" w:hAnsi="Tahoma" w:cs="Tahoma"/>
        </w:rPr>
      </w:pPr>
    </w:p>
    <w:p w:rsidR="00161C60" w:rsidRPr="00161C60" w:rsidRDefault="00161C60" w:rsidP="00161C60">
      <w:pPr>
        <w:pStyle w:val="Prrafodelista"/>
        <w:numPr>
          <w:ilvl w:val="0"/>
          <w:numId w:val="4"/>
        </w:numPr>
        <w:ind w:left="540" w:hanging="567"/>
        <w:contextualSpacing w:val="0"/>
        <w:jc w:val="both"/>
        <w:rPr>
          <w:rFonts w:ascii="Tahoma" w:hAnsi="Tahoma" w:cs="Tahoma"/>
        </w:rPr>
      </w:pPr>
      <w:r w:rsidRPr="00161C60">
        <w:rPr>
          <w:rFonts w:ascii="Tahoma" w:hAnsi="Tahoma" w:cs="Tahoma"/>
        </w:rPr>
        <w:t>Por las consideraciones expuestas, este Colegiado considera que en el caso materia de autos no se ha acreditado la responsabilidad de los integrantes del Consorcio respecto del incumplimiento injustificado de obligaciones derivadas del Contrato № 005-2010-RMO, al no haberse configurado la infracción prevista en el literal b) del numeral 51.1 del artículo 51 de la Ley en concordancia con el literal b) del numeral 1) del artículo 237 del Reglamento, por lo que no corresponde imponerle sanción administrativa.</w:t>
      </w:r>
    </w:p>
    <w:p w:rsidR="00161C60" w:rsidRPr="00161C60" w:rsidRDefault="00161C60" w:rsidP="00161C60">
      <w:pPr>
        <w:pStyle w:val="Prrafodelista"/>
        <w:jc w:val="both"/>
        <w:rPr>
          <w:rFonts w:ascii="Tahoma" w:hAnsi="Tahoma" w:cs="Tahoma"/>
        </w:rPr>
      </w:pPr>
    </w:p>
    <w:p w:rsidR="00161C60" w:rsidRPr="00161C60" w:rsidRDefault="00161C60" w:rsidP="00161C60">
      <w:pPr>
        <w:pStyle w:val="Prrafodelista"/>
        <w:numPr>
          <w:ilvl w:val="0"/>
          <w:numId w:val="4"/>
        </w:numPr>
        <w:ind w:left="540" w:hanging="567"/>
        <w:contextualSpacing w:val="0"/>
        <w:jc w:val="both"/>
        <w:rPr>
          <w:rFonts w:ascii="Tahoma" w:hAnsi="Tahoma" w:cs="Tahoma"/>
        </w:rPr>
      </w:pPr>
      <w:r w:rsidRPr="00161C60">
        <w:rPr>
          <w:rFonts w:ascii="Tahoma" w:hAnsi="Tahoma" w:cs="Tahoma"/>
        </w:rPr>
        <w:t xml:space="preserve">Sobre el particular, el numeral 4 del artículo 230 de la Ley del Procedimiento Administrativo General consagra el </w:t>
      </w:r>
      <w:r w:rsidRPr="00161C60">
        <w:rPr>
          <w:rFonts w:ascii="Tahoma" w:hAnsi="Tahoma" w:cs="Tahoma"/>
          <w:i/>
        </w:rPr>
        <w:t>Principio de Tipicidad</w:t>
      </w:r>
      <w:r w:rsidRPr="00161C60">
        <w:rPr>
          <w:rFonts w:ascii="Tahoma" w:hAnsi="Tahoma" w:cs="Tahoma"/>
        </w:rPr>
        <w:t xml:space="preserve">, conforme al cual las conductas expresamente descritas como sancionables no pueden admitir interpretación extensiva o analógica, mientras que el numeral 2 del mismo artículo hace referencia al </w:t>
      </w:r>
      <w:r w:rsidRPr="00161C60">
        <w:rPr>
          <w:rFonts w:ascii="Tahoma" w:hAnsi="Tahoma" w:cs="Tahoma"/>
          <w:i/>
        </w:rPr>
        <w:t>Principio del Debido Procedimiento</w:t>
      </w:r>
      <w:r w:rsidRPr="00161C60">
        <w:rPr>
          <w:rFonts w:ascii="Tahoma" w:hAnsi="Tahoma" w:cs="Tahoma"/>
        </w:rPr>
        <w:t>, por cuya virtud las Entidades aplicarán sanciones sujetando su actuación al procedimiento establecido, respetando las garantías inherentes al debido procedimiento.</w:t>
      </w:r>
    </w:p>
    <w:p w:rsidR="001776B6" w:rsidRPr="00161C60" w:rsidRDefault="001776B6" w:rsidP="00161C60">
      <w:pPr>
        <w:pStyle w:val="Prrafodelista"/>
        <w:jc w:val="both"/>
        <w:rPr>
          <w:rFonts w:ascii="Tahoma" w:hAnsi="Tahoma" w:cs="Tahoma"/>
        </w:rPr>
      </w:pPr>
    </w:p>
    <w:p w:rsidR="00DA127C" w:rsidRPr="00161C60" w:rsidRDefault="00DA127C" w:rsidP="00161C60">
      <w:pPr>
        <w:ind w:left="567" w:firstLine="567"/>
        <w:jc w:val="both"/>
        <w:rPr>
          <w:rFonts w:ascii="Tahoma" w:hAnsi="Tahoma" w:cs="Tahoma"/>
          <w:sz w:val="20"/>
          <w:szCs w:val="20"/>
        </w:rPr>
      </w:pPr>
      <w:r w:rsidRPr="00161C60">
        <w:rPr>
          <w:rFonts w:ascii="Tahoma" w:hAnsi="Tahoma" w:cs="Tahoma"/>
          <w:color w:val="000000"/>
          <w:sz w:val="20"/>
          <w:szCs w:val="20"/>
        </w:rPr>
        <w:lastRenderedPageBreak/>
        <w:t xml:space="preserve">Por estos fundamentos, de conformidad con el informe del Vocal Ponente </w:t>
      </w:r>
      <w:r w:rsidRPr="00161C60">
        <w:rPr>
          <w:rFonts w:ascii="Tahoma" w:hAnsi="Tahoma" w:cs="Tahoma"/>
          <w:sz w:val="20"/>
          <w:szCs w:val="20"/>
        </w:rPr>
        <w:t>Doctor Carlos Vicente Navas Rondón</w:t>
      </w:r>
      <w:r w:rsidRPr="00161C60">
        <w:rPr>
          <w:rFonts w:ascii="Tahoma" w:hAnsi="Tahoma" w:cs="Tahoma"/>
          <w:color w:val="000000"/>
          <w:sz w:val="20"/>
          <w:szCs w:val="20"/>
        </w:rPr>
        <w:t xml:space="preserve"> y la intervención de las Vocales Dra. Janette Elke Ramírez Maynetto y Dra. Ada Basulto Liewald, y atendiendo a la reconformación de la Primera Sala del Tribunal de Contrataciones del Estado según lo dispuesto en la Resolución № 103-2011-OSCE/PRE de fecha 15 de febrero de 2011, y en ejercicio de las facultades conferidas en los artículos 53, 59 y 61 aprobado por Decreto Legislativo 1017, Ley de Contrataciones del Estado,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E13E6B" w:rsidRPr="00161C60" w:rsidRDefault="00E13E6B" w:rsidP="00161C60">
      <w:pPr>
        <w:jc w:val="both"/>
        <w:rPr>
          <w:rFonts w:ascii="Tahoma" w:hAnsi="Tahoma" w:cs="Tahoma"/>
          <w:sz w:val="20"/>
          <w:szCs w:val="20"/>
        </w:rPr>
      </w:pPr>
    </w:p>
    <w:p w:rsidR="00E13E6B" w:rsidRPr="00161C60" w:rsidRDefault="00E13E6B" w:rsidP="00161C60">
      <w:pPr>
        <w:ind w:firstLine="567"/>
        <w:jc w:val="both"/>
        <w:rPr>
          <w:rFonts w:ascii="Tahoma" w:hAnsi="Tahoma" w:cs="Tahoma"/>
          <w:b/>
          <w:sz w:val="20"/>
          <w:szCs w:val="20"/>
        </w:rPr>
      </w:pPr>
      <w:r w:rsidRPr="00161C60">
        <w:rPr>
          <w:rFonts w:ascii="Tahoma" w:hAnsi="Tahoma" w:cs="Tahoma"/>
          <w:b/>
          <w:sz w:val="20"/>
          <w:szCs w:val="20"/>
        </w:rPr>
        <w:t xml:space="preserve">LA SALA RESUELVE: </w:t>
      </w:r>
    </w:p>
    <w:p w:rsidR="00E13E6B" w:rsidRPr="00161C60" w:rsidRDefault="00E13E6B" w:rsidP="00161C60">
      <w:pPr>
        <w:ind w:left="400"/>
        <w:jc w:val="both"/>
        <w:rPr>
          <w:rFonts w:ascii="Tahoma" w:hAnsi="Tahoma" w:cs="Tahoma"/>
          <w:snapToGrid w:val="0"/>
          <w:sz w:val="20"/>
          <w:szCs w:val="20"/>
        </w:rPr>
      </w:pPr>
    </w:p>
    <w:p w:rsidR="00161C60" w:rsidRPr="00161C60" w:rsidRDefault="00161C60" w:rsidP="00161C60">
      <w:pPr>
        <w:pStyle w:val="Prrafodelista"/>
        <w:numPr>
          <w:ilvl w:val="1"/>
          <w:numId w:val="28"/>
        </w:numPr>
        <w:tabs>
          <w:tab w:val="clear" w:pos="1440"/>
          <w:tab w:val="num" w:pos="567"/>
        </w:tabs>
        <w:ind w:left="567" w:hanging="567"/>
        <w:contextualSpacing w:val="0"/>
        <w:jc w:val="both"/>
        <w:rPr>
          <w:rFonts w:ascii="Tahoma" w:hAnsi="Tahoma" w:cs="Tahoma"/>
        </w:rPr>
      </w:pPr>
      <w:r w:rsidRPr="00161C60">
        <w:rPr>
          <w:rFonts w:ascii="Tahoma" w:hAnsi="Tahoma" w:cs="Tahoma"/>
        </w:rPr>
        <w:t>Declarar no ha lugar la imposición de sanción administrativa contra el Consorcio conformado por la empresa INVERSIONES CHIRINOS E.I.R.L y la señora NORA ALVEZ LOMAS, por su supuesta responsabilidad en la resolución Contrato № 005-2010-RMO de fecha 15 de abril de 2010, derivado de la Adjudicación de Menor Cuantía № 0001-2010-EP/UO 0860, infracción tipificada en el literal b) del numeral 51.1 del artículo 51 de la Ley en concordancia con el literal b) del numeral 1) del artículo 237 del Reglamento, por lo que corresponde archivar el presente expediente.</w:t>
      </w:r>
    </w:p>
    <w:p w:rsidR="00161C60" w:rsidRPr="00161C60" w:rsidRDefault="00161C60" w:rsidP="00161C60">
      <w:pPr>
        <w:ind w:left="525"/>
        <w:jc w:val="both"/>
        <w:rPr>
          <w:rFonts w:ascii="Tahoma" w:hAnsi="Tahoma" w:cs="Tahoma"/>
          <w:sz w:val="20"/>
          <w:szCs w:val="20"/>
        </w:rPr>
      </w:pPr>
    </w:p>
    <w:p w:rsidR="00161C60" w:rsidRPr="00161C60" w:rsidRDefault="00161C60" w:rsidP="00161C60">
      <w:pPr>
        <w:pStyle w:val="Prrafodelista"/>
        <w:numPr>
          <w:ilvl w:val="1"/>
          <w:numId w:val="28"/>
        </w:numPr>
        <w:tabs>
          <w:tab w:val="clear" w:pos="1440"/>
          <w:tab w:val="num" w:pos="567"/>
          <w:tab w:val="left" w:pos="993"/>
        </w:tabs>
        <w:ind w:left="567" w:hanging="567"/>
        <w:jc w:val="both"/>
        <w:rPr>
          <w:rFonts w:ascii="Tahoma" w:hAnsi="Tahoma" w:cs="Tahoma"/>
        </w:rPr>
      </w:pPr>
      <w:r w:rsidRPr="00161C60">
        <w:rPr>
          <w:rFonts w:ascii="Tahoma" w:hAnsi="Tahoma" w:cs="Tahoma"/>
        </w:rPr>
        <w:t>Comunicar la presente Resolución en conocimiento del Órgano de Control Institucional de la Entidad para que, en mérito a sus atribuciones, adopte las medidas que estime pertinentes de acuerdo a lo manifestado en el numeral 18 de la presente Fundamentación.</w:t>
      </w:r>
    </w:p>
    <w:p w:rsidR="00E13E6B" w:rsidRPr="00161C60" w:rsidRDefault="00E13E6B" w:rsidP="00161C60">
      <w:pPr>
        <w:pStyle w:val="Prrafodelista"/>
        <w:jc w:val="both"/>
        <w:rPr>
          <w:rFonts w:ascii="Tahoma" w:hAnsi="Tahoma" w:cs="Tahoma"/>
        </w:rPr>
      </w:pPr>
    </w:p>
    <w:p w:rsidR="00E13E6B" w:rsidRPr="00161C60" w:rsidRDefault="00E13E6B" w:rsidP="00161C60">
      <w:pPr>
        <w:pStyle w:val="Textoindependiente21"/>
        <w:ind w:firstLine="360"/>
        <w:rPr>
          <w:rFonts w:cs="Tahoma"/>
          <w:sz w:val="20"/>
        </w:rPr>
      </w:pPr>
      <w:r w:rsidRPr="00161C60">
        <w:rPr>
          <w:rFonts w:cs="Tahoma"/>
          <w:sz w:val="20"/>
        </w:rPr>
        <w:t>Regístrese, comuníquese y publíquese.</w:t>
      </w:r>
    </w:p>
    <w:p w:rsidR="00E13E6B" w:rsidRPr="00161C60" w:rsidRDefault="00E13E6B" w:rsidP="00161C60">
      <w:pPr>
        <w:jc w:val="both"/>
        <w:rPr>
          <w:rFonts w:ascii="Tahoma" w:hAnsi="Tahoma" w:cs="Tahoma"/>
          <w:b/>
          <w:bCs/>
          <w:shadow/>
          <w:sz w:val="20"/>
          <w:szCs w:val="20"/>
        </w:rPr>
      </w:pPr>
    </w:p>
    <w:p w:rsidR="00A52C81" w:rsidRPr="00161C60" w:rsidRDefault="00A52C81" w:rsidP="00161C60">
      <w:pPr>
        <w:jc w:val="both"/>
        <w:rPr>
          <w:rFonts w:ascii="Tahoma" w:hAnsi="Tahoma" w:cs="Tahoma"/>
          <w:b/>
          <w:bCs/>
          <w:shadow/>
          <w:sz w:val="20"/>
          <w:szCs w:val="20"/>
        </w:rPr>
      </w:pPr>
    </w:p>
    <w:p w:rsidR="00DA127C" w:rsidRDefault="00DA127C" w:rsidP="00161C60">
      <w:pPr>
        <w:jc w:val="both"/>
        <w:rPr>
          <w:rFonts w:ascii="Tahoma" w:hAnsi="Tahoma" w:cs="Tahoma"/>
          <w:b/>
          <w:bCs/>
          <w:shadow/>
          <w:sz w:val="20"/>
          <w:szCs w:val="20"/>
        </w:rPr>
      </w:pPr>
    </w:p>
    <w:p w:rsidR="003C089D" w:rsidRDefault="003C089D" w:rsidP="00161C60">
      <w:pPr>
        <w:jc w:val="both"/>
        <w:rPr>
          <w:rFonts w:ascii="Tahoma" w:hAnsi="Tahoma" w:cs="Tahoma"/>
          <w:b/>
          <w:bCs/>
          <w:shadow/>
          <w:sz w:val="20"/>
          <w:szCs w:val="20"/>
        </w:rPr>
      </w:pPr>
    </w:p>
    <w:p w:rsidR="003C089D" w:rsidRPr="00161C60" w:rsidRDefault="003C089D" w:rsidP="00161C60">
      <w:pPr>
        <w:jc w:val="both"/>
        <w:rPr>
          <w:rFonts w:ascii="Tahoma" w:hAnsi="Tahoma" w:cs="Tahoma"/>
          <w:b/>
          <w:bCs/>
          <w:shadow/>
          <w:sz w:val="20"/>
          <w:szCs w:val="20"/>
        </w:rPr>
      </w:pPr>
    </w:p>
    <w:p w:rsidR="00EC4953" w:rsidRDefault="00EC4953" w:rsidP="00161C60">
      <w:pPr>
        <w:jc w:val="center"/>
        <w:rPr>
          <w:rFonts w:ascii="Tahoma" w:hAnsi="Tahoma" w:cs="Tahoma"/>
          <w:b/>
          <w:bCs/>
          <w:shadow/>
          <w:sz w:val="20"/>
          <w:szCs w:val="20"/>
        </w:rPr>
      </w:pPr>
    </w:p>
    <w:p w:rsidR="003C089D" w:rsidRPr="00161C60" w:rsidRDefault="003C089D" w:rsidP="00161C60">
      <w:pPr>
        <w:jc w:val="center"/>
        <w:rPr>
          <w:rFonts w:ascii="Tahoma" w:hAnsi="Tahoma" w:cs="Tahoma"/>
          <w:b/>
          <w:bCs/>
          <w:shadow/>
          <w:sz w:val="20"/>
          <w:szCs w:val="20"/>
        </w:rPr>
      </w:pPr>
    </w:p>
    <w:p w:rsidR="00E13E6B" w:rsidRPr="00161C60" w:rsidRDefault="00E13E6B" w:rsidP="00161C60">
      <w:pPr>
        <w:jc w:val="center"/>
        <w:rPr>
          <w:rFonts w:ascii="Tahoma" w:hAnsi="Tahoma" w:cs="Tahoma"/>
          <w:b/>
          <w:bCs/>
          <w:shadow/>
          <w:sz w:val="20"/>
          <w:szCs w:val="20"/>
        </w:rPr>
      </w:pPr>
      <w:r w:rsidRPr="00161C60">
        <w:rPr>
          <w:rFonts w:ascii="Tahoma" w:hAnsi="Tahoma" w:cs="Tahoma"/>
          <w:b/>
          <w:bCs/>
          <w:shadow/>
          <w:sz w:val="20"/>
          <w:szCs w:val="20"/>
        </w:rPr>
        <w:t>PRESIDENTE</w:t>
      </w:r>
    </w:p>
    <w:p w:rsidR="00E13E6B" w:rsidRPr="00161C60" w:rsidRDefault="00E13E6B" w:rsidP="00161C60">
      <w:pPr>
        <w:jc w:val="center"/>
        <w:rPr>
          <w:rFonts w:ascii="Tahoma" w:hAnsi="Tahoma" w:cs="Tahoma"/>
          <w:b/>
          <w:bCs/>
          <w:shadow/>
          <w:sz w:val="20"/>
          <w:szCs w:val="20"/>
        </w:rPr>
      </w:pPr>
    </w:p>
    <w:p w:rsidR="00E13E6B" w:rsidRPr="00161C60" w:rsidRDefault="00E13E6B" w:rsidP="00161C60">
      <w:pPr>
        <w:jc w:val="center"/>
        <w:rPr>
          <w:rFonts w:ascii="Tahoma" w:hAnsi="Tahoma" w:cs="Tahoma"/>
          <w:b/>
          <w:bCs/>
          <w:shadow/>
          <w:sz w:val="20"/>
          <w:szCs w:val="20"/>
        </w:rPr>
      </w:pPr>
    </w:p>
    <w:p w:rsidR="00DA127C" w:rsidRDefault="00DA127C" w:rsidP="00161C60">
      <w:pPr>
        <w:jc w:val="center"/>
        <w:rPr>
          <w:rFonts w:ascii="Tahoma" w:hAnsi="Tahoma" w:cs="Tahoma"/>
          <w:b/>
          <w:bCs/>
          <w:shadow/>
          <w:sz w:val="20"/>
          <w:szCs w:val="20"/>
        </w:rPr>
      </w:pPr>
    </w:p>
    <w:p w:rsidR="003C089D" w:rsidRPr="00161C60" w:rsidRDefault="003C089D" w:rsidP="00161C60">
      <w:pPr>
        <w:jc w:val="center"/>
        <w:rPr>
          <w:rFonts w:ascii="Tahoma" w:hAnsi="Tahoma" w:cs="Tahoma"/>
          <w:b/>
          <w:bCs/>
          <w:shadow/>
          <w:sz w:val="20"/>
          <w:szCs w:val="20"/>
        </w:rPr>
      </w:pPr>
    </w:p>
    <w:p w:rsidR="00E13E6B" w:rsidRPr="00161C60" w:rsidRDefault="00E13E6B" w:rsidP="00161C60">
      <w:pPr>
        <w:jc w:val="center"/>
        <w:rPr>
          <w:rFonts w:ascii="Tahoma" w:hAnsi="Tahoma" w:cs="Tahoma"/>
          <w:b/>
          <w:bCs/>
          <w:shadow/>
          <w:sz w:val="20"/>
          <w:szCs w:val="20"/>
        </w:rPr>
      </w:pPr>
    </w:p>
    <w:p w:rsidR="00E13E6B" w:rsidRPr="00161C60" w:rsidRDefault="00E13E6B" w:rsidP="00161C60">
      <w:pPr>
        <w:jc w:val="center"/>
        <w:rPr>
          <w:rFonts w:ascii="Tahoma" w:hAnsi="Tahoma" w:cs="Tahoma"/>
          <w:b/>
          <w:shadow/>
          <w:sz w:val="20"/>
          <w:szCs w:val="20"/>
        </w:rPr>
      </w:pPr>
      <w:r w:rsidRPr="00161C60">
        <w:rPr>
          <w:rFonts w:ascii="Tahoma" w:hAnsi="Tahoma" w:cs="Tahoma"/>
          <w:b/>
          <w:shadow/>
          <w:sz w:val="20"/>
          <w:szCs w:val="20"/>
        </w:rPr>
        <w:t xml:space="preserve">VOCAL           </w:t>
      </w:r>
      <w:r w:rsidRPr="00161C60">
        <w:rPr>
          <w:rFonts w:ascii="Tahoma" w:hAnsi="Tahoma" w:cs="Tahoma"/>
          <w:b/>
          <w:shadow/>
          <w:sz w:val="20"/>
          <w:szCs w:val="20"/>
        </w:rPr>
        <w:tab/>
      </w:r>
      <w:r w:rsidRPr="00161C60">
        <w:rPr>
          <w:rFonts w:ascii="Tahoma" w:hAnsi="Tahoma" w:cs="Tahoma"/>
          <w:b/>
          <w:shadow/>
          <w:sz w:val="20"/>
          <w:szCs w:val="20"/>
        </w:rPr>
        <w:tab/>
        <w:t xml:space="preserve">                                                                VOCAL</w:t>
      </w:r>
    </w:p>
    <w:p w:rsidR="003C089D" w:rsidRDefault="003C089D" w:rsidP="00161C60">
      <w:pPr>
        <w:jc w:val="both"/>
        <w:rPr>
          <w:rFonts w:ascii="Tahoma" w:hAnsi="Tahoma" w:cs="Tahoma"/>
          <w:sz w:val="20"/>
          <w:szCs w:val="20"/>
        </w:rPr>
      </w:pPr>
    </w:p>
    <w:p w:rsidR="003C089D" w:rsidRDefault="003C089D" w:rsidP="00161C60">
      <w:pPr>
        <w:jc w:val="both"/>
        <w:rPr>
          <w:rFonts w:ascii="Tahoma" w:hAnsi="Tahoma" w:cs="Tahoma"/>
          <w:sz w:val="20"/>
          <w:szCs w:val="20"/>
        </w:rPr>
      </w:pPr>
    </w:p>
    <w:p w:rsidR="00E13E6B" w:rsidRPr="00161C60" w:rsidRDefault="00E13E6B" w:rsidP="00161C60">
      <w:pPr>
        <w:jc w:val="both"/>
        <w:rPr>
          <w:rFonts w:ascii="Tahoma" w:hAnsi="Tahoma" w:cs="Tahoma"/>
          <w:sz w:val="20"/>
          <w:szCs w:val="20"/>
        </w:rPr>
      </w:pPr>
      <w:r w:rsidRPr="00161C60">
        <w:rPr>
          <w:rFonts w:ascii="Tahoma" w:hAnsi="Tahoma" w:cs="Tahoma"/>
          <w:sz w:val="20"/>
          <w:szCs w:val="20"/>
        </w:rPr>
        <w:t>ss.</w:t>
      </w:r>
    </w:p>
    <w:p w:rsidR="00351F6F" w:rsidRPr="00161C60" w:rsidRDefault="00351F6F" w:rsidP="00161C60">
      <w:pPr>
        <w:jc w:val="both"/>
        <w:rPr>
          <w:rFonts w:ascii="Tahoma" w:hAnsi="Tahoma" w:cs="Tahoma"/>
          <w:sz w:val="20"/>
          <w:szCs w:val="20"/>
        </w:rPr>
      </w:pPr>
      <w:r w:rsidRPr="00161C60">
        <w:rPr>
          <w:rFonts w:ascii="Tahoma" w:hAnsi="Tahoma" w:cs="Tahoma"/>
          <w:sz w:val="20"/>
          <w:szCs w:val="20"/>
        </w:rPr>
        <w:t>Navas Rondón</w:t>
      </w:r>
    </w:p>
    <w:p w:rsidR="00351F6F" w:rsidRPr="00161C60" w:rsidRDefault="00351F6F" w:rsidP="00161C60">
      <w:pPr>
        <w:jc w:val="both"/>
        <w:rPr>
          <w:rFonts w:ascii="Tahoma" w:hAnsi="Tahoma" w:cs="Tahoma"/>
          <w:color w:val="000000"/>
          <w:sz w:val="20"/>
          <w:szCs w:val="20"/>
        </w:rPr>
      </w:pPr>
      <w:r w:rsidRPr="00161C60">
        <w:rPr>
          <w:rFonts w:ascii="Tahoma" w:hAnsi="Tahoma" w:cs="Tahoma"/>
          <w:color w:val="000000"/>
          <w:sz w:val="20"/>
          <w:szCs w:val="20"/>
        </w:rPr>
        <w:t xml:space="preserve">Ramírez Maynetto </w:t>
      </w:r>
    </w:p>
    <w:p w:rsidR="00351F6F" w:rsidRPr="00161C60" w:rsidRDefault="00351F6F" w:rsidP="00161C60">
      <w:pPr>
        <w:jc w:val="both"/>
        <w:rPr>
          <w:rFonts w:ascii="Tahoma" w:hAnsi="Tahoma" w:cs="Tahoma"/>
          <w:sz w:val="20"/>
          <w:szCs w:val="20"/>
        </w:rPr>
      </w:pPr>
      <w:r w:rsidRPr="00161C60">
        <w:rPr>
          <w:rFonts w:ascii="Tahoma" w:hAnsi="Tahoma" w:cs="Tahoma"/>
          <w:sz w:val="20"/>
          <w:szCs w:val="20"/>
        </w:rPr>
        <w:t>Basulto Liewald.</w:t>
      </w:r>
    </w:p>
    <w:p w:rsidR="002C6D86" w:rsidRPr="00161C60" w:rsidRDefault="00995B29" w:rsidP="00161C60">
      <w:pPr>
        <w:jc w:val="both"/>
        <w:rPr>
          <w:rFonts w:ascii="Tahoma" w:hAnsi="Tahoma" w:cs="Tahoma"/>
          <w:sz w:val="20"/>
          <w:szCs w:val="20"/>
        </w:rPr>
      </w:pPr>
    </w:p>
    <w:sectPr w:rsidR="002C6D86" w:rsidRPr="00161C60" w:rsidSect="009E0365">
      <w:headerReference w:type="default" r:id="rId7"/>
      <w:footerReference w:type="default" r:id="rId8"/>
      <w:pgSz w:w="11906" w:h="16838"/>
      <w:pgMar w:top="3345" w:right="1644" w:bottom="1644" w:left="1644" w:header="709" w:footer="1298" w:gutter="0"/>
      <w:pgBorders w:offsetFrom="page">
        <w:top w:val="single" w:sz="4" w:space="24" w:color="FFFFFF"/>
        <w:left w:val="single" w:sz="4" w:space="24" w:color="FFFFFF"/>
        <w:bottom w:val="single" w:sz="4" w:space="24" w:color="FFFFFF"/>
        <w:right w:val="single" w:sz="4" w:space="24" w:color="FFFFF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5B29" w:rsidRDefault="00995B29" w:rsidP="00E13E6B">
      <w:r>
        <w:separator/>
      </w:r>
    </w:p>
  </w:endnote>
  <w:endnote w:type="continuationSeparator" w:id="1">
    <w:p w:rsidR="00995B29" w:rsidRDefault="00995B29" w:rsidP="00E13E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6F0" w:rsidRDefault="00995B29" w:rsidP="00E066F0">
    <w:pPr>
      <w:pStyle w:val="Piedepgina"/>
      <w:jc w:val="center"/>
    </w:pPr>
  </w:p>
  <w:p w:rsidR="00E066F0" w:rsidRDefault="005B0EEA" w:rsidP="00E066F0">
    <w:pPr>
      <w:pStyle w:val="Piedepgina"/>
      <w:jc w:val="center"/>
    </w:pPr>
    <w:r>
      <w:t xml:space="preserve">Página </w:t>
    </w:r>
    <w:r w:rsidR="00A14B80">
      <w:fldChar w:fldCharType="begin"/>
    </w:r>
    <w:r>
      <w:instrText>PAGE</w:instrText>
    </w:r>
    <w:r w:rsidR="00A14B80">
      <w:fldChar w:fldCharType="separate"/>
    </w:r>
    <w:r w:rsidR="00DB3E05">
      <w:rPr>
        <w:noProof/>
      </w:rPr>
      <w:t>1</w:t>
    </w:r>
    <w:r w:rsidR="00A14B80">
      <w:fldChar w:fldCharType="end"/>
    </w:r>
    <w:r w:rsidRPr="006214E4">
      <w:t xml:space="preserve"> de </w:t>
    </w:r>
    <w:r w:rsidR="00A14B80">
      <w:fldChar w:fldCharType="begin"/>
    </w:r>
    <w:r>
      <w:instrText>NUMPAGES</w:instrText>
    </w:r>
    <w:r w:rsidR="00A14B80">
      <w:fldChar w:fldCharType="separate"/>
    </w:r>
    <w:r w:rsidR="00DB3E05">
      <w:rPr>
        <w:noProof/>
      </w:rPr>
      <w:t>9</w:t>
    </w:r>
    <w:r w:rsidR="00A14B80">
      <w:fldChar w:fldCharType="end"/>
    </w:r>
  </w:p>
  <w:p w:rsidR="00E066F0" w:rsidRPr="00223795" w:rsidRDefault="00995B29" w:rsidP="00E066F0">
    <w:pPr>
      <w:pStyle w:val="Piedepgina"/>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5B29" w:rsidRDefault="00995B29" w:rsidP="00E13E6B">
      <w:r>
        <w:separator/>
      </w:r>
    </w:p>
  </w:footnote>
  <w:footnote w:type="continuationSeparator" w:id="1">
    <w:p w:rsidR="00995B29" w:rsidRDefault="00995B29" w:rsidP="00E13E6B">
      <w:r>
        <w:continuationSeparator/>
      </w:r>
    </w:p>
  </w:footnote>
  <w:footnote w:id="2">
    <w:p w:rsidR="00161C60" w:rsidRPr="00227330" w:rsidRDefault="00161C60" w:rsidP="00161C60">
      <w:pPr>
        <w:pStyle w:val="Textonotapie"/>
        <w:rPr>
          <w:sz w:val="15"/>
          <w:szCs w:val="15"/>
        </w:rPr>
      </w:pPr>
      <w:r w:rsidRPr="00227330">
        <w:rPr>
          <w:rStyle w:val="Refdenotaalpie"/>
          <w:sz w:val="15"/>
          <w:szCs w:val="15"/>
        </w:rPr>
        <w:footnoteRef/>
      </w:r>
      <w:r w:rsidRPr="00227330">
        <w:rPr>
          <w:sz w:val="15"/>
          <w:szCs w:val="15"/>
        </w:rPr>
        <w:t xml:space="preserve"> </w:t>
      </w:r>
      <w:r w:rsidRPr="00227330">
        <w:rPr>
          <w:b/>
          <w:sz w:val="15"/>
          <w:szCs w:val="15"/>
        </w:rPr>
        <w:t>Artículo 51.- Infracciones y sanciones administrativas</w:t>
      </w:r>
    </w:p>
    <w:p w:rsidR="00161C60" w:rsidRPr="00227330" w:rsidRDefault="00161C60" w:rsidP="00161C60">
      <w:pPr>
        <w:pStyle w:val="Textonotapie"/>
        <w:rPr>
          <w:sz w:val="15"/>
          <w:szCs w:val="15"/>
        </w:rPr>
      </w:pPr>
      <w:r w:rsidRPr="00227330">
        <w:rPr>
          <w:sz w:val="15"/>
          <w:szCs w:val="15"/>
        </w:rPr>
        <w:t>51.1 Infracciones</w:t>
      </w:r>
    </w:p>
    <w:p w:rsidR="00161C60" w:rsidRPr="00227330" w:rsidRDefault="00161C60" w:rsidP="00161C60">
      <w:pPr>
        <w:pStyle w:val="Textonotapie"/>
        <w:rPr>
          <w:sz w:val="15"/>
          <w:szCs w:val="15"/>
        </w:rPr>
      </w:pPr>
      <w:r w:rsidRPr="00227330">
        <w:rPr>
          <w:sz w:val="15"/>
          <w:szCs w:val="15"/>
        </w:rPr>
        <w:t>Se impondrá sanción administrativa a los proveedores, participantes, postores y/o contratistas que:</w:t>
      </w:r>
    </w:p>
    <w:p w:rsidR="00161C60" w:rsidRPr="00227330" w:rsidRDefault="00161C60" w:rsidP="00161C60">
      <w:pPr>
        <w:pStyle w:val="Textonotapie"/>
        <w:rPr>
          <w:sz w:val="15"/>
          <w:szCs w:val="15"/>
        </w:rPr>
      </w:pPr>
      <w:r w:rsidRPr="00227330">
        <w:rPr>
          <w:sz w:val="15"/>
          <w:szCs w:val="15"/>
        </w:rPr>
        <w:t>(…)</w:t>
      </w:r>
    </w:p>
    <w:p w:rsidR="00161C60" w:rsidRPr="00227330" w:rsidRDefault="00161C60" w:rsidP="00161C60">
      <w:pPr>
        <w:pStyle w:val="Textonotapie"/>
        <w:rPr>
          <w:sz w:val="15"/>
          <w:szCs w:val="15"/>
        </w:rPr>
      </w:pPr>
      <w:r w:rsidRPr="00227330">
        <w:rPr>
          <w:sz w:val="15"/>
          <w:szCs w:val="15"/>
        </w:rPr>
        <w:t>b) Den lugar a la resolución del contrato, orden de compra o de servicios por causal atribuible a su  parte;</w:t>
      </w:r>
    </w:p>
  </w:footnote>
  <w:footnote w:id="3">
    <w:p w:rsidR="00161C60" w:rsidRPr="00227330" w:rsidRDefault="00161C60" w:rsidP="00161C60">
      <w:pPr>
        <w:pStyle w:val="Textonotapie"/>
        <w:rPr>
          <w:sz w:val="15"/>
          <w:szCs w:val="15"/>
        </w:rPr>
      </w:pPr>
      <w:r w:rsidRPr="00227330">
        <w:rPr>
          <w:rStyle w:val="Refdenotaalpie"/>
          <w:sz w:val="15"/>
          <w:szCs w:val="15"/>
        </w:rPr>
        <w:footnoteRef/>
      </w:r>
      <w:r w:rsidRPr="00227330">
        <w:rPr>
          <w:sz w:val="15"/>
          <w:szCs w:val="15"/>
        </w:rPr>
        <w:t xml:space="preserve"> </w:t>
      </w:r>
      <w:r w:rsidRPr="00227330">
        <w:rPr>
          <w:b/>
          <w:bCs/>
          <w:sz w:val="15"/>
          <w:szCs w:val="15"/>
        </w:rPr>
        <w:t>Artículo 237.- Causales de aplicación de sanción a los proveedores, participantes, postores y contratistas</w:t>
      </w:r>
    </w:p>
    <w:p w:rsidR="00161C60" w:rsidRPr="00227330" w:rsidRDefault="00161C60" w:rsidP="00161C60">
      <w:pPr>
        <w:pStyle w:val="Textonotapie"/>
        <w:rPr>
          <w:sz w:val="15"/>
          <w:szCs w:val="15"/>
        </w:rPr>
      </w:pPr>
      <w:r w:rsidRPr="00227330">
        <w:rPr>
          <w:sz w:val="15"/>
          <w:szCs w:val="15"/>
        </w:rPr>
        <w:t>El Tribunal impondrá la sanción administrativa de inhabilitación temporal o definitiva a los proveedores, participantes, postores y/o contratistas que:</w:t>
      </w:r>
    </w:p>
    <w:p w:rsidR="00161C60" w:rsidRPr="00227330" w:rsidRDefault="00161C60" w:rsidP="00161C60">
      <w:pPr>
        <w:pStyle w:val="Textonotapie"/>
        <w:rPr>
          <w:sz w:val="15"/>
          <w:szCs w:val="15"/>
        </w:rPr>
      </w:pPr>
      <w:r w:rsidRPr="00227330">
        <w:rPr>
          <w:sz w:val="15"/>
          <w:szCs w:val="15"/>
        </w:rPr>
        <w:t>(…)</w:t>
      </w:r>
    </w:p>
    <w:p w:rsidR="00161C60" w:rsidRPr="00227330" w:rsidRDefault="00161C60" w:rsidP="00161C60">
      <w:pPr>
        <w:pStyle w:val="Textonotapie"/>
        <w:rPr>
          <w:sz w:val="15"/>
          <w:szCs w:val="15"/>
        </w:rPr>
      </w:pPr>
      <w:r w:rsidRPr="00227330">
        <w:rPr>
          <w:sz w:val="15"/>
          <w:szCs w:val="15"/>
        </w:rPr>
        <w:t>2) Den lugar a la resolución del contrato, orden de compra o de servicios por causal atribuible a su parte.</w:t>
      </w:r>
    </w:p>
    <w:p w:rsidR="00161C60" w:rsidRPr="00237395" w:rsidRDefault="00161C60" w:rsidP="00161C60">
      <w:pPr>
        <w:pStyle w:val="Textonotapie"/>
        <w:rPr>
          <w:sz w:val="18"/>
          <w:szCs w:val="18"/>
        </w:rPr>
      </w:pPr>
    </w:p>
  </w:footnote>
  <w:footnote w:id="4">
    <w:p w:rsidR="00161C60" w:rsidRPr="006A3728" w:rsidRDefault="00161C60" w:rsidP="00161C60">
      <w:pPr>
        <w:pStyle w:val="Textonotapie"/>
        <w:rPr>
          <w:rFonts w:cs="Tahoma"/>
          <w:sz w:val="14"/>
          <w:szCs w:val="14"/>
        </w:rPr>
      </w:pPr>
      <w:r w:rsidRPr="006A3728">
        <w:rPr>
          <w:rStyle w:val="Refdenotaalpie"/>
          <w:rFonts w:cs="Tahoma"/>
          <w:sz w:val="14"/>
          <w:szCs w:val="14"/>
        </w:rPr>
        <w:footnoteRef/>
      </w:r>
      <w:r w:rsidRPr="006A3728">
        <w:rPr>
          <w:rFonts w:cs="Tahoma"/>
          <w:sz w:val="14"/>
          <w:szCs w:val="14"/>
        </w:rPr>
        <w:t xml:space="preserve"> Acuerdo dictado en el marco de los entonces vigentes Texto Único Ordenado de la Ley de Contrataciones y Adquisiciones del Estado, aprobado por Decreto Supremo № 012-2001-PCM, y su Reglamento, aprobado por Decreto Supremo № 013-2001-PCM, pero que resulta igualmente aplicable al caso de autos por referirse a la misma materia.</w:t>
      </w:r>
    </w:p>
    <w:p w:rsidR="00161C60" w:rsidRPr="00CD30A1" w:rsidRDefault="00161C60" w:rsidP="00161C60">
      <w:pPr>
        <w:pStyle w:val="Textonotapie"/>
        <w:rPr>
          <w:rFonts w:cs="Tahoma"/>
          <w:sz w:val="18"/>
          <w:szCs w:val="18"/>
        </w:rPr>
      </w:pPr>
    </w:p>
  </w:footnote>
  <w:footnote w:id="5">
    <w:p w:rsidR="00161C60" w:rsidRDefault="00161C60" w:rsidP="00161C60">
      <w:pPr>
        <w:pStyle w:val="Textonotapie"/>
      </w:pPr>
      <w:r>
        <w:rPr>
          <w:rStyle w:val="Refdenotaalpie"/>
        </w:rPr>
        <w:footnoteRef/>
      </w:r>
      <w:r>
        <w:t xml:space="preserve"> Domicilio consignado por el Consorcio en el contrato y en la promesa formal de consorcio.</w:t>
      </w:r>
    </w:p>
  </w:footnote>
  <w:footnote w:id="6">
    <w:p w:rsidR="00161C60" w:rsidRPr="003C089D" w:rsidRDefault="00161C60" w:rsidP="00161C60">
      <w:pPr>
        <w:pStyle w:val="Textonotapie"/>
        <w:rPr>
          <w:rFonts w:cs="Tahoma"/>
          <w:sz w:val="14"/>
          <w:szCs w:val="14"/>
        </w:rPr>
      </w:pPr>
      <w:r w:rsidRPr="003C089D">
        <w:rPr>
          <w:rStyle w:val="Refdenotaalpie"/>
          <w:sz w:val="14"/>
          <w:szCs w:val="14"/>
        </w:rPr>
        <w:footnoteRef/>
      </w:r>
      <w:r w:rsidRPr="003C089D">
        <w:rPr>
          <w:sz w:val="14"/>
          <w:szCs w:val="14"/>
        </w:rPr>
        <w:t xml:space="preserve"> </w:t>
      </w:r>
      <w:r w:rsidRPr="003C089D">
        <w:rPr>
          <w:rFonts w:cs="Tahoma"/>
          <w:sz w:val="14"/>
          <w:szCs w:val="14"/>
        </w:rPr>
        <w:t xml:space="preserve">CABANELLAS DE TORRES, Guillermo. </w:t>
      </w:r>
      <w:r w:rsidRPr="003C089D">
        <w:rPr>
          <w:rFonts w:cs="Tahoma"/>
          <w:b/>
          <w:sz w:val="14"/>
          <w:szCs w:val="14"/>
        </w:rPr>
        <w:t xml:space="preserve">Diccionario enciclopédico de derecho usual. </w:t>
      </w:r>
      <w:r w:rsidRPr="003C089D">
        <w:rPr>
          <w:rFonts w:cs="Tahoma"/>
          <w:sz w:val="14"/>
          <w:szCs w:val="14"/>
        </w:rPr>
        <w:t>Tomo III. 29a. edición. Buenos Aires: Heliasta, 2006. Pág. 346.</w:t>
      </w:r>
    </w:p>
    <w:p w:rsidR="00161C60" w:rsidRPr="003C089D" w:rsidRDefault="00161C60" w:rsidP="00161C60">
      <w:pPr>
        <w:pStyle w:val="Textonotapie"/>
        <w:rPr>
          <w:rFonts w:cs="Tahoma"/>
          <w:sz w:val="14"/>
          <w:szCs w:val="14"/>
        </w:rPr>
      </w:pPr>
    </w:p>
  </w:footnote>
  <w:footnote w:id="7">
    <w:p w:rsidR="00161C60" w:rsidRPr="003C089D" w:rsidRDefault="00161C60" w:rsidP="00161C60">
      <w:pPr>
        <w:pStyle w:val="Textonotapie"/>
        <w:rPr>
          <w:rFonts w:cs="Tahoma"/>
          <w:b/>
          <w:sz w:val="14"/>
          <w:szCs w:val="14"/>
        </w:rPr>
      </w:pPr>
      <w:r w:rsidRPr="003C089D">
        <w:rPr>
          <w:rStyle w:val="Refdenotaalpie"/>
          <w:rFonts w:cs="Tahoma"/>
          <w:b/>
          <w:sz w:val="14"/>
          <w:szCs w:val="14"/>
        </w:rPr>
        <w:footnoteRef/>
      </w:r>
      <w:r w:rsidRPr="003C089D">
        <w:rPr>
          <w:rFonts w:cs="Tahoma"/>
          <w:b/>
          <w:sz w:val="14"/>
          <w:szCs w:val="14"/>
        </w:rPr>
        <w:t xml:space="preserve"> Artículo 20.- Modalidades de Notificación.</w:t>
      </w:r>
    </w:p>
    <w:p w:rsidR="00161C60" w:rsidRPr="003C089D" w:rsidRDefault="00161C60" w:rsidP="00161C60">
      <w:pPr>
        <w:pStyle w:val="Textonotapie"/>
        <w:rPr>
          <w:rFonts w:cs="Tahoma"/>
          <w:sz w:val="14"/>
          <w:szCs w:val="14"/>
        </w:rPr>
      </w:pPr>
      <w:r w:rsidRPr="003C089D">
        <w:rPr>
          <w:rFonts w:cs="Tahoma"/>
          <w:sz w:val="14"/>
          <w:szCs w:val="14"/>
        </w:rPr>
        <w:t>20.1. Las notificaciones serán efectuadas a través de las siguientes modalidades, según este respectivo orden de prelación:</w:t>
      </w:r>
    </w:p>
    <w:p w:rsidR="00161C60" w:rsidRPr="003C089D" w:rsidRDefault="00161C60" w:rsidP="00161C60">
      <w:pPr>
        <w:pStyle w:val="Textonotapie"/>
        <w:tabs>
          <w:tab w:val="left" w:pos="426"/>
        </w:tabs>
        <w:rPr>
          <w:rFonts w:cs="Tahoma"/>
          <w:sz w:val="14"/>
          <w:szCs w:val="14"/>
        </w:rPr>
      </w:pPr>
      <w:r w:rsidRPr="003C089D">
        <w:rPr>
          <w:rFonts w:cs="Tahoma"/>
          <w:sz w:val="14"/>
          <w:szCs w:val="14"/>
        </w:rPr>
        <w:t>20.1.1. Notificación personal al administrado interesado o afectado por el acto, en su domicilio.</w:t>
      </w:r>
    </w:p>
    <w:p w:rsidR="00161C60" w:rsidRPr="003C089D" w:rsidRDefault="00161C60" w:rsidP="00161C60">
      <w:pPr>
        <w:pStyle w:val="Textonotapie"/>
        <w:tabs>
          <w:tab w:val="left" w:pos="426"/>
        </w:tabs>
        <w:rPr>
          <w:rFonts w:cs="Tahoma"/>
          <w:sz w:val="14"/>
          <w:szCs w:val="14"/>
        </w:rPr>
      </w:pPr>
      <w:r w:rsidRPr="003C089D">
        <w:rPr>
          <w:rFonts w:cs="Tahoma"/>
          <w:sz w:val="14"/>
          <w:szCs w:val="14"/>
        </w:rPr>
        <w:t xml:space="preserve">20.1.2. Mediante telegrama, correo certificado, telefax, correo electrónico; o cualquier otro medio que permita comprobar fehacientemente su acuse de recibo y quien lo recibe, siempre que el empleo de cualquiera de estos medios hubiese sido solicitado expresamente por el administrado. </w:t>
      </w:r>
    </w:p>
    <w:p w:rsidR="00161C60" w:rsidRPr="003C089D" w:rsidRDefault="00161C60" w:rsidP="00161C60">
      <w:pPr>
        <w:pStyle w:val="Textonotapie"/>
        <w:rPr>
          <w:rFonts w:cs="Tahoma"/>
          <w:sz w:val="14"/>
          <w:szCs w:val="14"/>
        </w:rPr>
      </w:pPr>
      <w:r w:rsidRPr="003C089D">
        <w:rPr>
          <w:rFonts w:cs="Tahoma"/>
          <w:sz w:val="14"/>
          <w:szCs w:val="14"/>
        </w:rPr>
        <w:t>[…]</w:t>
      </w:r>
    </w:p>
    <w:p w:rsidR="00161C60" w:rsidRPr="003C089D" w:rsidRDefault="00161C60" w:rsidP="00161C60">
      <w:pPr>
        <w:pStyle w:val="Textonotapie"/>
        <w:tabs>
          <w:tab w:val="left" w:pos="284"/>
        </w:tabs>
        <w:rPr>
          <w:rFonts w:cs="Tahoma"/>
          <w:sz w:val="14"/>
          <w:szCs w:val="14"/>
        </w:rPr>
      </w:pPr>
    </w:p>
  </w:footnote>
  <w:footnote w:id="8">
    <w:p w:rsidR="00161C60" w:rsidRPr="003C089D" w:rsidRDefault="00161C60" w:rsidP="00161C60">
      <w:pPr>
        <w:pStyle w:val="Textonotapie"/>
        <w:rPr>
          <w:rFonts w:cs="Tahoma"/>
          <w:sz w:val="14"/>
          <w:szCs w:val="14"/>
        </w:rPr>
      </w:pPr>
      <w:r w:rsidRPr="003C089D">
        <w:rPr>
          <w:rStyle w:val="Refdenotaalpie"/>
          <w:rFonts w:cs="Tahoma"/>
          <w:sz w:val="14"/>
          <w:szCs w:val="14"/>
        </w:rPr>
        <w:footnoteRef/>
      </w:r>
      <w:r w:rsidRPr="003C089D">
        <w:rPr>
          <w:rFonts w:cs="Tahoma"/>
          <w:sz w:val="14"/>
          <w:szCs w:val="14"/>
        </w:rPr>
        <w:t xml:space="preserve"> </w:t>
      </w:r>
      <w:r w:rsidRPr="003C089D">
        <w:rPr>
          <w:rFonts w:cs="Tahoma"/>
          <w:b/>
          <w:sz w:val="14"/>
          <w:szCs w:val="14"/>
          <w:u w:val="single"/>
        </w:rPr>
        <w:t>Artículo II</w:t>
      </w:r>
      <w:r w:rsidRPr="003C089D">
        <w:rPr>
          <w:rFonts w:cs="Tahoma"/>
          <w:b/>
          <w:sz w:val="14"/>
          <w:szCs w:val="14"/>
        </w:rPr>
        <w:t>.- Contenido.-</w:t>
      </w:r>
    </w:p>
    <w:p w:rsidR="00161C60" w:rsidRPr="003C089D" w:rsidRDefault="00161C60" w:rsidP="00161C60">
      <w:pPr>
        <w:pStyle w:val="Textonotapie"/>
        <w:rPr>
          <w:rFonts w:cs="Tahoma"/>
          <w:sz w:val="14"/>
          <w:szCs w:val="14"/>
        </w:rPr>
      </w:pPr>
      <w:r w:rsidRPr="003C089D">
        <w:rPr>
          <w:rFonts w:cs="Tahoma"/>
          <w:sz w:val="14"/>
          <w:szCs w:val="14"/>
        </w:rPr>
        <w:t>2. Los procedimientos especiales creados y regulados como tales por Ley expresa, atendiendo a la singularidad de la materia, se rigen supletoriamente por la presente Ley en aquellos aspectos no previstos y en los que no son tratados expresamente de modo distinto.</w:t>
      </w:r>
    </w:p>
    <w:p w:rsidR="00161C60" w:rsidRPr="00782282" w:rsidRDefault="00161C60" w:rsidP="00161C60">
      <w:pPr>
        <w:pStyle w:val="Textonotapie"/>
        <w:rPr>
          <w:rFonts w:cs="Tahoma"/>
          <w:sz w:val="16"/>
          <w:szCs w:val="16"/>
        </w:rPr>
      </w:pPr>
    </w:p>
  </w:footnote>
  <w:footnote w:id="9">
    <w:p w:rsidR="00161C60" w:rsidRPr="003C089D" w:rsidRDefault="00161C60" w:rsidP="00161C60">
      <w:pPr>
        <w:pStyle w:val="Textonotapie"/>
        <w:rPr>
          <w:rFonts w:cs="Tahoma"/>
          <w:b/>
          <w:sz w:val="14"/>
          <w:szCs w:val="14"/>
        </w:rPr>
      </w:pPr>
      <w:r w:rsidRPr="003C089D">
        <w:rPr>
          <w:rStyle w:val="Refdenotaalpie"/>
          <w:rFonts w:cs="Tahoma"/>
          <w:sz w:val="14"/>
          <w:szCs w:val="14"/>
        </w:rPr>
        <w:footnoteRef/>
      </w:r>
      <w:r w:rsidRPr="003C089D">
        <w:rPr>
          <w:rFonts w:cs="Tahoma"/>
          <w:sz w:val="14"/>
          <w:szCs w:val="14"/>
        </w:rPr>
        <w:t xml:space="preserve"> </w:t>
      </w:r>
      <w:r w:rsidRPr="003C089D">
        <w:rPr>
          <w:rFonts w:cs="Tahoma"/>
          <w:b/>
          <w:sz w:val="14"/>
          <w:szCs w:val="14"/>
        </w:rPr>
        <w:t>Artículo 27.- Saneamiento de notificaciones defectuosas.</w:t>
      </w:r>
    </w:p>
    <w:p w:rsidR="00161C60" w:rsidRPr="003C089D" w:rsidRDefault="00161C60" w:rsidP="00161C60">
      <w:pPr>
        <w:pStyle w:val="Textonotapie"/>
        <w:rPr>
          <w:rFonts w:cs="Tahoma"/>
          <w:sz w:val="14"/>
          <w:szCs w:val="14"/>
          <w:lang w:val="es-MX"/>
        </w:rPr>
      </w:pPr>
      <w:r w:rsidRPr="003C089D">
        <w:rPr>
          <w:rFonts w:cs="Tahoma"/>
          <w:sz w:val="14"/>
          <w:szCs w:val="14"/>
        </w:rPr>
        <w:t xml:space="preserve">27.1. </w:t>
      </w:r>
      <w:r w:rsidRPr="003C089D">
        <w:rPr>
          <w:rFonts w:cs="Tahoma"/>
          <w:sz w:val="14"/>
          <w:szCs w:val="14"/>
          <w:lang w:val="es-MX"/>
        </w:rPr>
        <w:t>La notificación defectuosa por omisión de alguno de sus requisitos  de contenido, surtirá efectos legales a partir de la fecha en que el interesado manifiesta expresamente haberla recibido, si no hay  prueba en contrario.</w:t>
      </w:r>
    </w:p>
    <w:p w:rsidR="00161C60" w:rsidRPr="003C089D" w:rsidRDefault="00161C60" w:rsidP="00161C60">
      <w:pPr>
        <w:pStyle w:val="Textonotapie"/>
        <w:tabs>
          <w:tab w:val="left" w:pos="8364"/>
        </w:tabs>
        <w:rPr>
          <w:rFonts w:cs="Tahoma"/>
          <w:sz w:val="14"/>
          <w:szCs w:val="14"/>
        </w:rPr>
      </w:pPr>
      <w:r w:rsidRPr="003C089D">
        <w:rPr>
          <w:rFonts w:cs="Tahoma"/>
          <w:sz w:val="14"/>
          <w:szCs w:val="14"/>
          <w:lang w:val="es-MX"/>
        </w:rPr>
        <w:t xml:space="preserve">27.2. También se tendrá por bien notificado al administrado a partir de la realización de actuaciones procedimentales del interesado que permitan suponer razonablemente que tuvo conocimiento oportuno del contenido o alcance de la resolución o interponga cualquier recurso que proceda </w:t>
      </w:r>
      <w:r w:rsidRPr="003C089D">
        <w:rPr>
          <w:rFonts w:cs="Tahoma"/>
          <w:sz w:val="14"/>
          <w:szCs w:val="14"/>
        </w:rPr>
        <w:t>[…]</w:t>
      </w:r>
    </w:p>
    <w:p w:rsidR="00161C60" w:rsidRPr="00782282" w:rsidRDefault="00161C60" w:rsidP="00161C60">
      <w:pPr>
        <w:pStyle w:val="Textonotapie"/>
        <w:ind w:left="426" w:hanging="426"/>
        <w:rPr>
          <w:rFonts w:cs="Tahoma"/>
          <w:sz w:val="16"/>
          <w:szCs w:val="16"/>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E05" w:rsidRDefault="00DB3E05" w:rsidP="00DB3E05">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DB3E05" w:rsidRDefault="00DB3E05" w:rsidP="00DB3E05">
    <w:pPr>
      <w:pStyle w:val="Encabezado"/>
      <w:rPr>
        <w:noProof/>
      </w:rPr>
    </w:pPr>
  </w:p>
  <w:p w:rsidR="00DB3E05" w:rsidRDefault="00DB3E05" w:rsidP="00DB3E05">
    <w:pPr>
      <w:pStyle w:val="Encabezado"/>
      <w:rPr>
        <w:noProof/>
      </w:rPr>
    </w:pPr>
  </w:p>
  <w:p w:rsidR="00DB3E05" w:rsidRDefault="00DB3E05" w:rsidP="00DB3E05">
    <w:pPr>
      <w:pStyle w:val="Encabezado"/>
      <w:rPr>
        <w:noProof/>
      </w:rPr>
    </w:pPr>
  </w:p>
  <w:p w:rsidR="00DB3E05" w:rsidRDefault="00DB3E05" w:rsidP="00DB3E05">
    <w:pPr>
      <w:pStyle w:val="Encabezado"/>
      <w:jc w:val="center"/>
    </w:pPr>
    <w:r>
      <w:rPr>
        <w:rFonts w:ascii="Monotype Corsiva" w:hAnsi="Monotype Corsiva"/>
        <w:b/>
        <w:sz w:val="44"/>
        <w:szCs w:val="44"/>
      </w:rPr>
      <w:t xml:space="preserve">Resolución Nº   </w:t>
    </w:r>
    <w:r>
      <w:rPr>
        <w:rFonts w:ascii="Tahoma" w:hAnsi="Tahoma" w:cs="Tahoma"/>
        <w:b/>
        <w:sz w:val="44"/>
        <w:szCs w:val="44"/>
      </w:rPr>
      <w:t>487-2011-TC-S1</w:t>
    </w:r>
  </w:p>
  <w:p w:rsidR="00DB3E05" w:rsidRDefault="00DB3E0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56D82"/>
    <w:multiLevelType w:val="hybridMultilevel"/>
    <w:tmpl w:val="B22A7B0C"/>
    <w:lvl w:ilvl="0" w:tplc="D7A8BF70">
      <w:start w:val="1"/>
      <w:numFmt w:val="lowerRoman"/>
      <w:lvlText w:val="(%1)"/>
      <w:lvlJc w:val="left"/>
      <w:pPr>
        <w:ind w:left="360" w:hanging="360"/>
      </w:pPr>
      <w:rPr>
        <w:rFonts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nsid w:val="03FA3E39"/>
    <w:multiLevelType w:val="hybridMultilevel"/>
    <w:tmpl w:val="34EE19A4"/>
    <w:lvl w:ilvl="0" w:tplc="0C880FB2">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48E5AC7"/>
    <w:multiLevelType w:val="hybridMultilevel"/>
    <w:tmpl w:val="AD7CEC18"/>
    <w:lvl w:ilvl="0" w:tplc="0E54F300">
      <w:start w:val="1"/>
      <w:numFmt w:val="decimal"/>
      <w:lvlText w:val="%1."/>
      <w:lvlJc w:val="left"/>
      <w:pPr>
        <w:tabs>
          <w:tab w:val="num" w:pos="720"/>
        </w:tabs>
        <w:ind w:left="720" w:hanging="360"/>
      </w:pPr>
      <w:rPr>
        <w:b/>
        <w:sz w:val="20"/>
        <w:szCs w:val="20"/>
      </w:rPr>
    </w:lvl>
    <w:lvl w:ilvl="1" w:tplc="0C0A0001">
      <w:start w:val="1"/>
      <w:numFmt w:val="bullet"/>
      <w:lvlText w:val=""/>
      <w:lvlJc w:val="left"/>
      <w:pPr>
        <w:tabs>
          <w:tab w:val="num" w:pos="1440"/>
        </w:tabs>
        <w:ind w:left="1440" w:hanging="360"/>
      </w:pPr>
      <w:rPr>
        <w:rFonts w:ascii="Symbol" w:hAnsi="Symbol" w:hint="default"/>
      </w:rPr>
    </w:lvl>
    <w:lvl w:ilvl="2" w:tplc="45403A08">
      <w:start w:val="1"/>
      <w:numFmt w:val="lowerRoman"/>
      <w:lvlText w:val="(%3)"/>
      <w:lvlJc w:val="left"/>
      <w:pPr>
        <w:tabs>
          <w:tab w:val="num" w:pos="2700"/>
        </w:tabs>
        <w:ind w:left="2700" w:hanging="720"/>
      </w:pPr>
      <w:rPr>
        <w:rFonts w:hint="default"/>
        <w:b w:val="0"/>
      </w:rPr>
    </w:lvl>
    <w:lvl w:ilvl="3" w:tplc="F3C0B5CE">
      <w:start w:val="1"/>
      <w:numFmt w:val="decimal"/>
      <w:lvlText w:val="%4."/>
      <w:lvlJc w:val="left"/>
      <w:pPr>
        <w:tabs>
          <w:tab w:val="num" w:pos="2880"/>
        </w:tabs>
        <w:ind w:left="2880" w:hanging="360"/>
      </w:pPr>
      <w:rPr>
        <w:b/>
      </w:rPr>
    </w:lvl>
    <w:lvl w:ilvl="4" w:tplc="498875FC">
      <w:start w:val="1"/>
      <w:numFmt w:val="lowerLetter"/>
      <w:lvlText w:val="%5."/>
      <w:lvlJc w:val="left"/>
      <w:pPr>
        <w:ind w:left="3930" w:hanging="690"/>
      </w:pPr>
      <w:rPr>
        <w:rFonts w:hint="default"/>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096E7451"/>
    <w:multiLevelType w:val="hybridMultilevel"/>
    <w:tmpl w:val="45E23DBA"/>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nsid w:val="0D89661A"/>
    <w:multiLevelType w:val="hybridMultilevel"/>
    <w:tmpl w:val="01CE751A"/>
    <w:lvl w:ilvl="0" w:tplc="D69A56F8">
      <w:start w:val="1"/>
      <w:numFmt w:val="decimal"/>
      <w:lvlText w:val="%1."/>
      <w:lvlJc w:val="left"/>
      <w:pPr>
        <w:tabs>
          <w:tab w:val="num" w:pos="596"/>
        </w:tabs>
        <w:ind w:left="596" w:hanging="454"/>
      </w:pPr>
      <w:rPr>
        <w:rFonts w:ascii="Tahoma" w:hAnsi="Tahoma" w:cs="Tahoma" w:hint="default"/>
        <w:b/>
        <w:i w:val="0"/>
        <w:shadow w:val="0"/>
        <w:emboss w:val="0"/>
        <w:imprint w:val="0"/>
        <w:color w:val="auto"/>
        <w:sz w:val="20"/>
        <w:szCs w:val="20"/>
        <w:u w:color="FFFFFF"/>
        <w:effect w:val="none"/>
        <w:lang w:val="es-ES"/>
      </w:rPr>
    </w:lvl>
    <w:lvl w:ilvl="1" w:tplc="70F2732C">
      <w:start w:val="1"/>
      <w:numFmt w:val="lowerLetter"/>
      <w:lvlText w:val="%2."/>
      <w:lvlJc w:val="left"/>
      <w:pPr>
        <w:tabs>
          <w:tab w:val="num" w:pos="1440"/>
        </w:tabs>
        <w:ind w:left="1440" w:hanging="360"/>
      </w:pPr>
      <w:rPr>
        <w:sz w:val="22"/>
        <w:szCs w:val="22"/>
      </w:rPr>
    </w:lvl>
    <w:lvl w:ilvl="2" w:tplc="B1187586">
      <w:start w:val="1"/>
      <w:numFmt w:val="lowerRoman"/>
      <w:lvlText w:val="(%3)"/>
      <w:lvlJc w:val="left"/>
      <w:pPr>
        <w:tabs>
          <w:tab w:val="num" w:pos="2700"/>
        </w:tabs>
        <w:ind w:left="2700" w:hanging="720"/>
      </w:pPr>
      <w:rPr>
        <w:rFonts w:hint="default"/>
        <w:b/>
        <w:sz w:val="22"/>
        <w:szCs w:val="22"/>
      </w:rPr>
    </w:lvl>
    <w:lvl w:ilvl="3" w:tplc="08F29F02">
      <w:start w:val="1"/>
      <w:numFmt w:val="lowerRoman"/>
      <w:lvlText w:val="%4)"/>
      <w:lvlJc w:val="left"/>
      <w:pPr>
        <w:tabs>
          <w:tab w:val="num" w:pos="3240"/>
        </w:tabs>
        <w:ind w:left="3240" w:hanging="72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31D60A9"/>
    <w:multiLevelType w:val="hybridMultilevel"/>
    <w:tmpl w:val="1A801A96"/>
    <w:lvl w:ilvl="0" w:tplc="3BB04CAE">
      <w:start w:val="1"/>
      <w:numFmt w:val="decimal"/>
      <w:lvlText w:val="%1."/>
      <w:lvlJc w:val="left"/>
      <w:pPr>
        <w:tabs>
          <w:tab w:val="num" w:pos="720"/>
        </w:tabs>
        <w:ind w:left="720" w:hanging="360"/>
      </w:pPr>
      <w:rPr>
        <w:b/>
      </w:rPr>
    </w:lvl>
    <w:lvl w:ilvl="1" w:tplc="0C0A0019">
      <w:start w:val="1"/>
      <w:numFmt w:val="bullet"/>
      <w:lvlText w:val=""/>
      <w:lvlJc w:val="left"/>
      <w:pPr>
        <w:tabs>
          <w:tab w:val="num" w:pos="1440"/>
        </w:tabs>
        <w:ind w:left="1440" w:hanging="360"/>
      </w:pPr>
      <w:rPr>
        <w:rFonts w:ascii="Symbol" w:eastAsia="Times New Roman" w:hAnsi="Symbol" w:cs="Aria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nsid w:val="180361FF"/>
    <w:multiLevelType w:val="hybridMultilevel"/>
    <w:tmpl w:val="634A8E34"/>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nsid w:val="1FD61B9D"/>
    <w:multiLevelType w:val="hybridMultilevel"/>
    <w:tmpl w:val="0540BA38"/>
    <w:lvl w:ilvl="0" w:tplc="0C0A0015">
      <w:start w:val="1"/>
      <w:numFmt w:val="upperLetter"/>
      <w:lvlText w:val="%1."/>
      <w:lvlJc w:val="left"/>
      <w:pPr>
        <w:ind w:left="720" w:hanging="360"/>
      </w:pPr>
    </w:lvl>
    <w:lvl w:ilvl="1" w:tplc="9C085FFC">
      <w:start w:val="1"/>
      <w:numFmt w:val="decimal"/>
      <w:lvlText w:val="%2."/>
      <w:lvlJc w:val="left"/>
      <w:pPr>
        <w:tabs>
          <w:tab w:val="num" w:pos="1440"/>
        </w:tabs>
        <w:ind w:left="1440" w:hanging="360"/>
      </w:pPr>
      <w:rPr>
        <w:b/>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8">
    <w:nsid w:val="2CCF2AFD"/>
    <w:multiLevelType w:val="hybridMultilevel"/>
    <w:tmpl w:val="ADB452B8"/>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9">
    <w:nsid w:val="2DFC5248"/>
    <w:multiLevelType w:val="hybridMultilevel"/>
    <w:tmpl w:val="921CE842"/>
    <w:lvl w:ilvl="0" w:tplc="F44A618E">
      <w:start w:val="1"/>
      <w:numFmt w:val="lowerRoman"/>
      <w:lvlText w:val="(%1)"/>
      <w:lvlJc w:val="lef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0">
    <w:nsid w:val="2E720AC6"/>
    <w:multiLevelType w:val="hybridMultilevel"/>
    <w:tmpl w:val="18446698"/>
    <w:lvl w:ilvl="0" w:tplc="2C762992">
      <w:start w:val="1"/>
      <w:numFmt w:val="decimal"/>
      <w:lvlText w:val="%1."/>
      <w:lvlJc w:val="left"/>
      <w:pPr>
        <w:tabs>
          <w:tab w:val="num" w:pos="8100"/>
        </w:tabs>
        <w:ind w:left="8100" w:hanging="360"/>
      </w:pPr>
      <w:rPr>
        <w:rFonts w:hint="default"/>
        <w:b/>
        <w:sz w:val="20"/>
        <w:szCs w:val="20"/>
      </w:rPr>
    </w:lvl>
    <w:lvl w:ilvl="1" w:tplc="0C0A0019" w:tentative="1">
      <w:start w:val="1"/>
      <w:numFmt w:val="lowerLetter"/>
      <w:lvlText w:val="%2."/>
      <w:lvlJc w:val="left"/>
      <w:pPr>
        <w:tabs>
          <w:tab w:val="num" w:pos="8820"/>
        </w:tabs>
        <w:ind w:left="8820" w:hanging="360"/>
      </w:pPr>
    </w:lvl>
    <w:lvl w:ilvl="2" w:tplc="0C0A001B" w:tentative="1">
      <w:start w:val="1"/>
      <w:numFmt w:val="lowerRoman"/>
      <w:lvlText w:val="%3."/>
      <w:lvlJc w:val="right"/>
      <w:pPr>
        <w:tabs>
          <w:tab w:val="num" w:pos="9540"/>
        </w:tabs>
        <w:ind w:left="9540" w:hanging="180"/>
      </w:pPr>
    </w:lvl>
    <w:lvl w:ilvl="3" w:tplc="0C0A000F" w:tentative="1">
      <w:start w:val="1"/>
      <w:numFmt w:val="decimal"/>
      <w:lvlText w:val="%4."/>
      <w:lvlJc w:val="left"/>
      <w:pPr>
        <w:tabs>
          <w:tab w:val="num" w:pos="10260"/>
        </w:tabs>
        <w:ind w:left="10260" w:hanging="360"/>
      </w:pPr>
    </w:lvl>
    <w:lvl w:ilvl="4" w:tplc="0C0A0019" w:tentative="1">
      <w:start w:val="1"/>
      <w:numFmt w:val="lowerLetter"/>
      <w:lvlText w:val="%5."/>
      <w:lvlJc w:val="left"/>
      <w:pPr>
        <w:tabs>
          <w:tab w:val="num" w:pos="10980"/>
        </w:tabs>
        <w:ind w:left="10980" w:hanging="360"/>
      </w:pPr>
    </w:lvl>
    <w:lvl w:ilvl="5" w:tplc="0C0A001B" w:tentative="1">
      <w:start w:val="1"/>
      <w:numFmt w:val="lowerRoman"/>
      <w:lvlText w:val="%6."/>
      <w:lvlJc w:val="right"/>
      <w:pPr>
        <w:tabs>
          <w:tab w:val="num" w:pos="11700"/>
        </w:tabs>
        <w:ind w:left="11700" w:hanging="180"/>
      </w:pPr>
    </w:lvl>
    <w:lvl w:ilvl="6" w:tplc="0C0A000F" w:tentative="1">
      <w:start w:val="1"/>
      <w:numFmt w:val="decimal"/>
      <w:lvlText w:val="%7."/>
      <w:lvlJc w:val="left"/>
      <w:pPr>
        <w:tabs>
          <w:tab w:val="num" w:pos="12420"/>
        </w:tabs>
        <w:ind w:left="12420" w:hanging="360"/>
      </w:pPr>
    </w:lvl>
    <w:lvl w:ilvl="7" w:tplc="0C0A0019" w:tentative="1">
      <w:start w:val="1"/>
      <w:numFmt w:val="lowerLetter"/>
      <w:lvlText w:val="%8."/>
      <w:lvlJc w:val="left"/>
      <w:pPr>
        <w:tabs>
          <w:tab w:val="num" w:pos="13140"/>
        </w:tabs>
        <w:ind w:left="13140" w:hanging="360"/>
      </w:pPr>
    </w:lvl>
    <w:lvl w:ilvl="8" w:tplc="0C0A001B" w:tentative="1">
      <w:start w:val="1"/>
      <w:numFmt w:val="lowerRoman"/>
      <w:lvlText w:val="%9."/>
      <w:lvlJc w:val="right"/>
      <w:pPr>
        <w:tabs>
          <w:tab w:val="num" w:pos="13860"/>
        </w:tabs>
        <w:ind w:left="13860" w:hanging="180"/>
      </w:pPr>
    </w:lvl>
  </w:abstractNum>
  <w:abstractNum w:abstractNumId="11">
    <w:nsid w:val="3468407A"/>
    <w:multiLevelType w:val="hybridMultilevel"/>
    <w:tmpl w:val="314ED194"/>
    <w:lvl w:ilvl="0" w:tplc="C1AC6AEC">
      <w:start w:val="1"/>
      <w:numFmt w:val="lowerRoman"/>
      <w:lvlText w:val="%1."/>
      <w:lvlJc w:val="righ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2">
    <w:nsid w:val="3E7D0E0B"/>
    <w:multiLevelType w:val="hybridMultilevel"/>
    <w:tmpl w:val="DBB42198"/>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408F6B27"/>
    <w:multiLevelType w:val="hybridMultilevel"/>
    <w:tmpl w:val="4684A2BA"/>
    <w:lvl w:ilvl="0" w:tplc="F5C055C0">
      <w:start w:val="1"/>
      <w:numFmt w:val="decimal"/>
      <w:lvlText w:val="%1."/>
      <w:lvlJc w:val="left"/>
      <w:pPr>
        <w:tabs>
          <w:tab w:val="num" w:pos="480"/>
        </w:tabs>
        <w:ind w:left="480" w:hanging="360"/>
      </w:pPr>
      <w:rPr>
        <w:rFonts w:hint="default"/>
        <w:b w:val="0"/>
      </w:rPr>
    </w:lvl>
    <w:lvl w:ilvl="1" w:tplc="0C0A0019" w:tentative="1">
      <w:start w:val="1"/>
      <w:numFmt w:val="lowerLetter"/>
      <w:lvlText w:val="%2."/>
      <w:lvlJc w:val="left"/>
      <w:pPr>
        <w:tabs>
          <w:tab w:val="num" w:pos="1200"/>
        </w:tabs>
        <w:ind w:left="1200" w:hanging="360"/>
      </w:pPr>
    </w:lvl>
    <w:lvl w:ilvl="2" w:tplc="709221C6" w:tentative="1">
      <w:start w:val="1"/>
      <w:numFmt w:val="lowerRoman"/>
      <w:lvlText w:val="%3."/>
      <w:lvlJc w:val="right"/>
      <w:pPr>
        <w:tabs>
          <w:tab w:val="num" w:pos="1920"/>
        </w:tabs>
        <w:ind w:left="1920" w:hanging="180"/>
      </w:pPr>
    </w:lvl>
    <w:lvl w:ilvl="3" w:tplc="0C0A000F" w:tentative="1">
      <w:start w:val="1"/>
      <w:numFmt w:val="decimal"/>
      <w:lvlText w:val="%4."/>
      <w:lvlJc w:val="left"/>
      <w:pPr>
        <w:tabs>
          <w:tab w:val="num" w:pos="2640"/>
        </w:tabs>
        <w:ind w:left="2640" w:hanging="360"/>
      </w:pPr>
    </w:lvl>
    <w:lvl w:ilvl="4" w:tplc="0C0A0019" w:tentative="1">
      <w:start w:val="1"/>
      <w:numFmt w:val="lowerLetter"/>
      <w:lvlText w:val="%5."/>
      <w:lvlJc w:val="left"/>
      <w:pPr>
        <w:tabs>
          <w:tab w:val="num" w:pos="3360"/>
        </w:tabs>
        <w:ind w:left="3360" w:hanging="360"/>
      </w:pPr>
    </w:lvl>
    <w:lvl w:ilvl="5" w:tplc="0C0A001B" w:tentative="1">
      <w:start w:val="1"/>
      <w:numFmt w:val="lowerRoman"/>
      <w:lvlText w:val="%6."/>
      <w:lvlJc w:val="right"/>
      <w:pPr>
        <w:tabs>
          <w:tab w:val="num" w:pos="4080"/>
        </w:tabs>
        <w:ind w:left="4080" w:hanging="180"/>
      </w:pPr>
    </w:lvl>
    <w:lvl w:ilvl="6" w:tplc="0C0A000F" w:tentative="1">
      <w:start w:val="1"/>
      <w:numFmt w:val="decimal"/>
      <w:lvlText w:val="%7."/>
      <w:lvlJc w:val="left"/>
      <w:pPr>
        <w:tabs>
          <w:tab w:val="num" w:pos="4800"/>
        </w:tabs>
        <w:ind w:left="4800" w:hanging="360"/>
      </w:pPr>
    </w:lvl>
    <w:lvl w:ilvl="7" w:tplc="0C0A0019" w:tentative="1">
      <w:start w:val="1"/>
      <w:numFmt w:val="lowerLetter"/>
      <w:lvlText w:val="%8."/>
      <w:lvlJc w:val="left"/>
      <w:pPr>
        <w:tabs>
          <w:tab w:val="num" w:pos="5520"/>
        </w:tabs>
        <w:ind w:left="5520" w:hanging="360"/>
      </w:pPr>
    </w:lvl>
    <w:lvl w:ilvl="8" w:tplc="0C0A001B" w:tentative="1">
      <w:start w:val="1"/>
      <w:numFmt w:val="lowerRoman"/>
      <w:lvlText w:val="%9."/>
      <w:lvlJc w:val="right"/>
      <w:pPr>
        <w:tabs>
          <w:tab w:val="num" w:pos="6240"/>
        </w:tabs>
        <w:ind w:left="6240" w:hanging="180"/>
      </w:pPr>
    </w:lvl>
  </w:abstractNum>
  <w:abstractNum w:abstractNumId="14">
    <w:nsid w:val="420F6C4B"/>
    <w:multiLevelType w:val="hybridMultilevel"/>
    <w:tmpl w:val="B4328FEE"/>
    <w:lvl w:ilvl="0" w:tplc="A5705B54">
      <w:start w:val="1"/>
      <w:numFmt w:val="lowerRoman"/>
      <w:lvlText w:val="(%1)"/>
      <w:lvlJc w:val="left"/>
      <w:pPr>
        <w:ind w:left="1287" w:hanging="360"/>
      </w:pPr>
      <w:rPr>
        <w:rFonts w:hint="default"/>
        <w:b/>
        <w:i w:val="0"/>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5">
    <w:nsid w:val="44193628"/>
    <w:multiLevelType w:val="hybridMultilevel"/>
    <w:tmpl w:val="94B681A2"/>
    <w:lvl w:ilvl="0" w:tplc="0C0A001B">
      <w:start w:val="1"/>
      <w:numFmt w:val="lowerRoman"/>
      <w:lvlText w:val="%1."/>
      <w:lvlJc w:val="right"/>
      <w:pPr>
        <w:ind w:left="720" w:hanging="360"/>
      </w:pPr>
      <w:rPr>
        <w:b/>
      </w:rPr>
    </w:lvl>
    <w:lvl w:ilvl="1" w:tplc="BB567E5A">
      <w:start w:val="1"/>
      <w:numFmt w:val="decimal"/>
      <w:lvlText w:val="%2."/>
      <w:lvlJc w:val="left"/>
      <w:pPr>
        <w:ind w:left="1455" w:hanging="375"/>
      </w:pPr>
      <w:rPr>
        <w:rFonts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452C5B89"/>
    <w:multiLevelType w:val="hybridMultilevel"/>
    <w:tmpl w:val="3940A9BE"/>
    <w:lvl w:ilvl="0" w:tplc="5246B6C8">
      <w:start w:val="1"/>
      <w:numFmt w:val="lowerRoman"/>
      <w:lvlText w:val="%1."/>
      <w:lvlJc w:val="right"/>
      <w:pPr>
        <w:ind w:left="1440" w:hanging="360"/>
      </w:pPr>
      <w:rPr>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7">
    <w:nsid w:val="54D656E9"/>
    <w:multiLevelType w:val="hybridMultilevel"/>
    <w:tmpl w:val="DA708F52"/>
    <w:lvl w:ilvl="0" w:tplc="A5705B54">
      <w:start w:val="1"/>
      <w:numFmt w:val="lowerRoman"/>
      <w:lvlText w:val="(%1)"/>
      <w:lvlJc w:val="left"/>
      <w:pPr>
        <w:tabs>
          <w:tab w:val="num" w:pos="360"/>
        </w:tabs>
        <w:ind w:left="360" w:hanging="360"/>
      </w:pPr>
      <w:rPr>
        <w:rFonts w:hint="default"/>
        <w:b/>
      </w:rPr>
    </w:lvl>
    <w:lvl w:ilvl="1" w:tplc="AB5692E8">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55706F67"/>
    <w:multiLevelType w:val="hybridMultilevel"/>
    <w:tmpl w:val="50228332"/>
    <w:lvl w:ilvl="0" w:tplc="AFA4D940">
      <w:start w:val="1"/>
      <w:numFmt w:val="decimal"/>
      <w:lvlText w:val="%1."/>
      <w:lvlJc w:val="left"/>
      <w:pPr>
        <w:tabs>
          <w:tab w:val="num" w:pos="720"/>
        </w:tabs>
        <w:ind w:left="720" w:hanging="360"/>
      </w:pPr>
      <w:rPr>
        <w:sz w:val="12"/>
        <w:szCs w:val="12"/>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9">
    <w:nsid w:val="55D10505"/>
    <w:multiLevelType w:val="hybridMultilevel"/>
    <w:tmpl w:val="E0024B12"/>
    <w:lvl w:ilvl="0" w:tplc="5ACCB444">
      <w:start w:val="1"/>
      <w:numFmt w:val="lowerRoman"/>
      <w:lvlText w:val="%1."/>
      <w:lvlJc w:val="right"/>
      <w:pPr>
        <w:ind w:left="1854" w:hanging="360"/>
      </w:pPr>
      <w:rPr>
        <w:b/>
      </w:rPr>
    </w:lvl>
    <w:lvl w:ilvl="1" w:tplc="0C0A0019" w:tentative="1">
      <w:start w:val="1"/>
      <w:numFmt w:val="lowerLetter"/>
      <w:lvlText w:val="%2."/>
      <w:lvlJc w:val="left"/>
      <w:pPr>
        <w:ind w:left="2574" w:hanging="360"/>
      </w:pPr>
    </w:lvl>
    <w:lvl w:ilvl="2" w:tplc="0C0A001B" w:tentative="1">
      <w:start w:val="1"/>
      <w:numFmt w:val="lowerRoman"/>
      <w:lvlText w:val="%3."/>
      <w:lvlJc w:val="right"/>
      <w:pPr>
        <w:ind w:left="3294" w:hanging="180"/>
      </w:pPr>
    </w:lvl>
    <w:lvl w:ilvl="3" w:tplc="0C0A000F" w:tentative="1">
      <w:start w:val="1"/>
      <w:numFmt w:val="decimal"/>
      <w:lvlText w:val="%4."/>
      <w:lvlJc w:val="left"/>
      <w:pPr>
        <w:ind w:left="4014" w:hanging="360"/>
      </w:pPr>
    </w:lvl>
    <w:lvl w:ilvl="4" w:tplc="0C0A0019" w:tentative="1">
      <w:start w:val="1"/>
      <w:numFmt w:val="lowerLetter"/>
      <w:lvlText w:val="%5."/>
      <w:lvlJc w:val="left"/>
      <w:pPr>
        <w:ind w:left="4734" w:hanging="360"/>
      </w:pPr>
    </w:lvl>
    <w:lvl w:ilvl="5" w:tplc="0C0A001B" w:tentative="1">
      <w:start w:val="1"/>
      <w:numFmt w:val="lowerRoman"/>
      <w:lvlText w:val="%6."/>
      <w:lvlJc w:val="right"/>
      <w:pPr>
        <w:ind w:left="5454" w:hanging="180"/>
      </w:pPr>
    </w:lvl>
    <w:lvl w:ilvl="6" w:tplc="0C0A000F" w:tentative="1">
      <w:start w:val="1"/>
      <w:numFmt w:val="decimal"/>
      <w:lvlText w:val="%7."/>
      <w:lvlJc w:val="left"/>
      <w:pPr>
        <w:ind w:left="6174" w:hanging="360"/>
      </w:pPr>
    </w:lvl>
    <w:lvl w:ilvl="7" w:tplc="0C0A0019" w:tentative="1">
      <w:start w:val="1"/>
      <w:numFmt w:val="lowerLetter"/>
      <w:lvlText w:val="%8."/>
      <w:lvlJc w:val="left"/>
      <w:pPr>
        <w:ind w:left="6894" w:hanging="360"/>
      </w:pPr>
    </w:lvl>
    <w:lvl w:ilvl="8" w:tplc="0C0A001B" w:tentative="1">
      <w:start w:val="1"/>
      <w:numFmt w:val="lowerRoman"/>
      <w:lvlText w:val="%9."/>
      <w:lvlJc w:val="right"/>
      <w:pPr>
        <w:ind w:left="7614" w:hanging="180"/>
      </w:pPr>
    </w:lvl>
  </w:abstractNum>
  <w:abstractNum w:abstractNumId="20">
    <w:nsid w:val="56473656"/>
    <w:multiLevelType w:val="hybridMultilevel"/>
    <w:tmpl w:val="B072B59A"/>
    <w:lvl w:ilvl="0" w:tplc="56684FFC">
      <w:start w:val="1"/>
      <w:numFmt w:val="decimal"/>
      <w:lvlText w:val="%1."/>
      <w:lvlJc w:val="left"/>
      <w:pPr>
        <w:ind w:left="720" w:hanging="360"/>
      </w:pPr>
      <w:rPr>
        <w:b/>
        <w:sz w:val="21"/>
        <w:szCs w:val="2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5E193018"/>
    <w:multiLevelType w:val="hybridMultilevel"/>
    <w:tmpl w:val="CC50CAA0"/>
    <w:lvl w:ilvl="0" w:tplc="1AF815EA">
      <w:start w:val="1"/>
      <w:numFmt w:val="lowerRoman"/>
      <w:lvlText w:val="%1."/>
      <w:lvlJc w:val="righ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2">
    <w:nsid w:val="61356E09"/>
    <w:multiLevelType w:val="hybridMultilevel"/>
    <w:tmpl w:val="A4108FE4"/>
    <w:lvl w:ilvl="0" w:tplc="81064F46">
      <w:start w:val="1"/>
      <w:numFmt w:val="lowerRoman"/>
      <w:lvlText w:val="%1."/>
      <w:lvlJc w:val="right"/>
      <w:pPr>
        <w:ind w:left="1287" w:hanging="360"/>
      </w:pPr>
      <w:rPr>
        <w:b/>
        <w:i w:val="0"/>
        <w:sz w:val="25"/>
        <w:szCs w:val="25"/>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3">
    <w:nsid w:val="6EA50FF8"/>
    <w:multiLevelType w:val="hybridMultilevel"/>
    <w:tmpl w:val="942E561C"/>
    <w:lvl w:ilvl="0" w:tplc="F1AC1BBE">
      <w:start w:val="1"/>
      <w:numFmt w:val="decimal"/>
      <w:lvlText w:val="%1."/>
      <w:lvlJc w:val="right"/>
      <w:pPr>
        <w:ind w:left="360" w:hanging="360"/>
      </w:pPr>
      <w:rPr>
        <w:rFonts w:ascii="Tahoma" w:hAnsi="Tahoma"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4">
    <w:nsid w:val="742A4401"/>
    <w:multiLevelType w:val="hybridMultilevel"/>
    <w:tmpl w:val="E33E7602"/>
    <w:lvl w:ilvl="0" w:tplc="BFBE62CE">
      <w:start w:val="1"/>
      <w:numFmt w:val="decimal"/>
      <w:lvlText w:val="%1."/>
      <w:lvlJc w:val="left"/>
      <w:pPr>
        <w:ind w:left="1287" w:hanging="360"/>
      </w:pPr>
      <w:rPr>
        <w:rFonts w:ascii="Tahoma" w:hAnsi="Tahoma" w:cs="Tahoma" w:hint="default"/>
        <w:b/>
        <w:sz w:val="20"/>
        <w:szCs w:val="20"/>
      </w:rPr>
    </w:lvl>
    <w:lvl w:ilvl="1" w:tplc="D83632D6">
      <w:start w:val="1"/>
      <w:numFmt w:val="lowerLetter"/>
      <w:lvlText w:val="%2)"/>
      <w:lvlJc w:val="left"/>
      <w:pPr>
        <w:tabs>
          <w:tab w:val="num" w:pos="2007"/>
        </w:tabs>
        <w:ind w:left="2007" w:hanging="360"/>
      </w:pPr>
      <w:rPr>
        <w:rFonts w:hint="default"/>
        <w:lang w:val="es-ES"/>
      </w:r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5">
    <w:nsid w:val="7CBF7177"/>
    <w:multiLevelType w:val="hybridMultilevel"/>
    <w:tmpl w:val="882A3CEC"/>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6">
    <w:nsid w:val="7EC759A6"/>
    <w:multiLevelType w:val="hybridMultilevel"/>
    <w:tmpl w:val="921CD5C4"/>
    <w:lvl w:ilvl="0" w:tplc="366C1FBA">
      <w:start w:val="1"/>
      <w:numFmt w:val="decimal"/>
      <w:lvlText w:val="%1."/>
      <w:lvlJc w:val="left"/>
      <w:pPr>
        <w:tabs>
          <w:tab w:val="num" w:pos="360"/>
        </w:tabs>
        <w:ind w:left="360" w:hanging="360"/>
      </w:pPr>
      <w:rPr>
        <w:rFonts w:hint="default"/>
        <w:b/>
        <w:sz w:val="20"/>
        <w:szCs w:val="20"/>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2"/>
  </w:num>
  <w:num w:numId="4">
    <w:abstractNumId w:val="1"/>
  </w:num>
  <w:num w:numId="5">
    <w:abstractNumId w:val="26"/>
  </w:num>
  <w:num w:numId="6">
    <w:abstractNumId w:val="22"/>
  </w:num>
  <w:num w:numId="7">
    <w:abstractNumId w:val="20"/>
  </w:num>
  <w:num w:numId="8">
    <w:abstractNumId w:val="25"/>
  </w:num>
  <w:num w:numId="9">
    <w:abstractNumId w:val="18"/>
  </w:num>
  <w:num w:numId="10">
    <w:abstractNumId w:val="15"/>
  </w:num>
  <w:num w:numId="11">
    <w:abstractNumId w:val="4"/>
  </w:num>
  <w:num w:numId="12">
    <w:abstractNumId w:val="11"/>
  </w:num>
  <w:num w:numId="13">
    <w:abstractNumId w:val="2"/>
  </w:num>
  <w:num w:numId="14">
    <w:abstractNumId w:val="13"/>
  </w:num>
  <w:num w:numId="15">
    <w:abstractNumId w:val="19"/>
  </w:num>
  <w:num w:numId="16">
    <w:abstractNumId w:val="10"/>
  </w:num>
  <w:num w:numId="17">
    <w:abstractNumId w:val="21"/>
  </w:num>
  <w:num w:numId="18">
    <w:abstractNumId w:val="9"/>
  </w:num>
  <w:num w:numId="19">
    <w:abstractNumId w:val="23"/>
  </w:num>
  <w:num w:numId="20">
    <w:abstractNumId w:val="14"/>
  </w:num>
  <w:num w:numId="21">
    <w:abstractNumId w:val="6"/>
  </w:num>
  <w:num w:numId="22">
    <w:abstractNumId w:val="16"/>
  </w:num>
  <w:num w:numId="23">
    <w:abstractNumId w:val="8"/>
  </w:num>
  <w:num w:numId="24">
    <w:abstractNumId w:val="3"/>
  </w:num>
  <w:num w:numId="25">
    <w:abstractNumId w:val="0"/>
  </w:num>
  <w:num w:numId="26">
    <w:abstractNumId w:val="24"/>
  </w:num>
  <w:num w:numId="27">
    <w:abstractNumId w:val="17"/>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9458"/>
  </w:hdrShapeDefaults>
  <w:footnotePr>
    <w:footnote w:id="0"/>
    <w:footnote w:id="1"/>
  </w:footnotePr>
  <w:endnotePr>
    <w:endnote w:id="0"/>
    <w:endnote w:id="1"/>
  </w:endnotePr>
  <w:compat/>
  <w:rsids>
    <w:rsidRoot w:val="00E13E6B"/>
    <w:rsid w:val="00000BF4"/>
    <w:rsid w:val="00016207"/>
    <w:rsid w:val="00027FB1"/>
    <w:rsid w:val="00041FBA"/>
    <w:rsid w:val="0005582F"/>
    <w:rsid w:val="00082DF1"/>
    <w:rsid w:val="000B0A8A"/>
    <w:rsid w:val="000B0CEB"/>
    <w:rsid w:val="000B6C24"/>
    <w:rsid w:val="000E3E0B"/>
    <w:rsid w:val="001016D9"/>
    <w:rsid w:val="001337F7"/>
    <w:rsid w:val="00140241"/>
    <w:rsid w:val="00140DE4"/>
    <w:rsid w:val="00161C60"/>
    <w:rsid w:val="00164CC7"/>
    <w:rsid w:val="001776B6"/>
    <w:rsid w:val="00187209"/>
    <w:rsid w:val="00187E2A"/>
    <w:rsid w:val="001C5BD6"/>
    <w:rsid w:val="001E448B"/>
    <w:rsid w:val="001E71F0"/>
    <w:rsid w:val="001F5C44"/>
    <w:rsid w:val="00214D5E"/>
    <w:rsid w:val="00222218"/>
    <w:rsid w:val="0022267E"/>
    <w:rsid w:val="00231184"/>
    <w:rsid w:val="0023169C"/>
    <w:rsid w:val="00254249"/>
    <w:rsid w:val="002837D2"/>
    <w:rsid w:val="00295C50"/>
    <w:rsid w:val="00300624"/>
    <w:rsid w:val="00331E1A"/>
    <w:rsid w:val="003430DE"/>
    <w:rsid w:val="00351F6F"/>
    <w:rsid w:val="00360AFE"/>
    <w:rsid w:val="003B4F9C"/>
    <w:rsid w:val="003C089D"/>
    <w:rsid w:val="004255A5"/>
    <w:rsid w:val="00440D71"/>
    <w:rsid w:val="00442AC8"/>
    <w:rsid w:val="004515EA"/>
    <w:rsid w:val="00455F96"/>
    <w:rsid w:val="00466DC8"/>
    <w:rsid w:val="004C487F"/>
    <w:rsid w:val="004C5043"/>
    <w:rsid w:val="004F2CC5"/>
    <w:rsid w:val="005250B0"/>
    <w:rsid w:val="00531D1E"/>
    <w:rsid w:val="005521E5"/>
    <w:rsid w:val="00567032"/>
    <w:rsid w:val="005B0EEA"/>
    <w:rsid w:val="005B1E24"/>
    <w:rsid w:val="005E3E1C"/>
    <w:rsid w:val="005F24AA"/>
    <w:rsid w:val="005F3C91"/>
    <w:rsid w:val="00635F2E"/>
    <w:rsid w:val="00642EE3"/>
    <w:rsid w:val="0065269D"/>
    <w:rsid w:val="006550D3"/>
    <w:rsid w:val="006B6377"/>
    <w:rsid w:val="006B668D"/>
    <w:rsid w:val="006C0A94"/>
    <w:rsid w:val="006C2E41"/>
    <w:rsid w:val="006C5B6A"/>
    <w:rsid w:val="006D2E88"/>
    <w:rsid w:val="006E4E4E"/>
    <w:rsid w:val="006E5571"/>
    <w:rsid w:val="006E5BF8"/>
    <w:rsid w:val="006F0656"/>
    <w:rsid w:val="006F3B1E"/>
    <w:rsid w:val="0074555F"/>
    <w:rsid w:val="007570AE"/>
    <w:rsid w:val="00763CC8"/>
    <w:rsid w:val="00766749"/>
    <w:rsid w:val="007728C3"/>
    <w:rsid w:val="007D7E70"/>
    <w:rsid w:val="007E4F29"/>
    <w:rsid w:val="008011A4"/>
    <w:rsid w:val="00822C2F"/>
    <w:rsid w:val="00835165"/>
    <w:rsid w:val="008734E8"/>
    <w:rsid w:val="00903A92"/>
    <w:rsid w:val="009066F9"/>
    <w:rsid w:val="00920048"/>
    <w:rsid w:val="0092385F"/>
    <w:rsid w:val="0092699F"/>
    <w:rsid w:val="00982D52"/>
    <w:rsid w:val="00992FEE"/>
    <w:rsid w:val="00993C05"/>
    <w:rsid w:val="00995B29"/>
    <w:rsid w:val="009C2CF7"/>
    <w:rsid w:val="009E1F2A"/>
    <w:rsid w:val="00A14B80"/>
    <w:rsid w:val="00A52C81"/>
    <w:rsid w:val="00A9776E"/>
    <w:rsid w:val="00AA6BAC"/>
    <w:rsid w:val="00AA7525"/>
    <w:rsid w:val="00AB0F61"/>
    <w:rsid w:val="00AD4AB5"/>
    <w:rsid w:val="00B05429"/>
    <w:rsid w:val="00B06760"/>
    <w:rsid w:val="00B1735A"/>
    <w:rsid w:val="00B25FCD"/>
    <w:rsid w:val="00B31BA1"/>
    <w:rsid w:val="00B71CFC"/>
    <w:rsid w:val="00BE51B2"/>
    <w:rsid w:val="00BE67EB"/>
    <w:rsid w:val="00C15ECB"/>
    <w:rsid w:val="00C5251B"/>
    <w:rsid w:val="00C8148D"/>
    <w:rsid w:val="00CC3859"/>
    <w:rsid w:val="00CC52A3"/>
    <w:rsid w:val="00D002B4"/>
    <w:rsid w:val="00D069FF"/>
    <w:rsid w:val="00D115F8"/>
    <w:rsid w:val="00D13BC9"/>
    <w:rsid w:val="00D445DC"/>
    <w:rsid w:val="00DA127C"/>
    <w:rsid w:val="00DA2C25"/>
    <w:rsid w:val="00DB3E05"/>
    <w:rsid w:val="00DC3001"/>
    <w:rsid w:val="00DD589B"/>
    <w:rsid w:val="00E124B8"/>
    <w:rsid w:val="00E13E6B"/>
    <w:rsid w:val="00E1470E"/>
    <w:rsid w:val="00E633EF"/>
    <w:rsid w:val="00E77676"/>
    <w:rsid w:val="00E964AA"/>
    <w:rsid w:val="00EC4953"/>
    <w:rsid w:val="00EE4815"/>
    <w:rsid w:val="00EE7A6B"/>
    <w:rsid w:val="00F3647A"/>
    <w:rsid w:val="00F4438A"/>
    <w:rsid w:val="00F50510"/>
    <w:rsid w:val="00F55A67"/>
    <w:rsid w:val="00F66D53"/>
    <w:rsid w:val="00F77525"/>
    <w:rsid w:val="00FE6FD2"/>
    <w:rsid w:val="00FF6B1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E6B"/>
    <w:pPr>
      <w:spacing w:after="0" w:line="240" w:lineRule="auto"/>
    </w:pPr>
    <w:rPr>
      <w:rFonts w:ascii="Times New Roman" w:eastAsia="Calibri" w:hAnsi="Times New Roman" w:cs="Times New Roman"/>
      <w:sz w:val="24"/>
      <w:szCs w:val="24"/>
      <w:lang w:eastAsia="es-ES"/>
    </w:rPr>
  </w:style>
  <w:style w:type="paragraph" w:styleId="Ttulo1">
    <w:name w:val="heading 1"/>
    <w:basedOn w:val="Normal"/>
    <w:next w:val="Normal"/>
    <w:link w:val="Ttulo1Car"/>
    <w:uiPriority w:val="9"/>
    <w:qFormat/>
    <w:rsid w:val="00EC495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EC495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E13E6B"/>
    <w:pPr>
      <w:tabs>
        <w:tab w:val="center" w:pos="4252"/>
        <w:tab w:val="right" w:pos="8504"/>
      </w:tabs>
    </w:pPr>
  </w:style>
  <w:style w:type="character" w:customStyle="1" w:styleId="PiedepginaCar">
    <w:name w:val="Pie de página Car"/>
    <w:basedOn w:val="Fuentedeprrafopredeter"/>
    <w:link w:val="Piedepgina"/>
    <w:rsid w:val="00E13E6B"/>
    <w:rPr>
      <w:rFonts w:ascii="Times New Roman" w:eastAsia="Calibri" w:hAnsi="Times New Roman" w:cs="Times New Roman"/>
      <w:sz w:val="24"/>
      <w:szCs w:val="24"/>
      <w:lang w:eastAsia="es-ES"/>
    </w:rPr>
  </w:style>
  <w:style w:type="paragraph" w:customStyle="1" w:styleId="Textoindependiente21">
    <w:name w:val="Texto independiente 21"/>
    <w:basedOn w:val="Normal"/>
    <w:rsid w:val="00E13E6B"/>
    <w:pPr>
      <w:jc w:val="both"/>
    </w:pPr>
    <w:rPr>
      <w:rFonts w:ascii="Tahoma" w:hAnsi="Tahoma"/>
      <w:sz w:val="22"/>
      <w:szCs w:val="20"/>
    </w:rPr>
  </w:style>
  <w:style w:type="paragraph" w:styleId="Textoindependiente3">
    <w:name w:val="Body Text 3"/>
    <w:basedOn w:val="Normal"/>
    <w:link w:val="Textoindependiente3Car"/>
    <w:rsid w:val="00E13E6B"/>
    <w:pPr>
      <w:jc w:val="center"/>
    </w:pPr>
    <w:rPr>
      <w:rFonts w:ascii="Arial" w:eastAsia="Batang" w:hAnsi="Arial"/>
      <w:b/>
      <w:sz w:val="20"/>
      <w:szCs w:val="20"/>
      <w:lang w:val="es-PE"/>
    </w:rPr>
  </w:style>
  <w:style w:type="character" w:customStyle="1" w:styleId="Textoindependiente3Car">
    <w:name w:val="Texto independiente 3 Car"/>
    <w:basedOn w:val="Fuentedeprrafopredeter"/>
    <w:link w:val="Textoindependiente3"/>
    <w:rsid w:val="00E13E6B"/>
    <w:rPr>
      <w:rFonts w:ascii="Arial" w:eastAsia="Batang" w:hAnsi="Arial" w:cs="Times New Roman"/>
      <w:b/>
      <w:sz w:val="20"/>
      <w:szCs w:val="20"/>
      <w:lang w:val="es-PE" w:eastAsia="es-ES"/>
    </w:rPr>
  </w:style>
  <w:style w:type="paragraph" w:styleId="Textoindependiente">
    <w:name w:val="Body Text"/>
    <w:basedOn w:val="Normal"/>
    <w:link w:val="TextoindependienteCar"/>
    <w:rsid w:val="00E13E6B"/>
    <w:pPr>
      <w:spacing w:after="120"/>
    </w:pPr>
  </w:style>
  <w:style w:type="character" w:customStyle="1" w:styleId="TextoindependienteCar">
    <w:name w:val="Texto independiente Car"/>
    <w:basedOn w:val="Fuentedeprrafopredeter"/>
    <w:link w:val="Textoindependiente"/>
    <w:rsid w:val="00E13E6B"/>
    <w:rPr>
      <w:rFonts w:ascii="Times New Roman" w:eastAsia="Calibri" w:hAnsi="Times New Roman" w:cs="Times New Roman"/>
      <w:sz w:val="24"/>
      <w:szCs w:val="24"/>
      <w:lang w:eastAsia="es-ES"/>
    </w:rPr>
  </w:style>
  <w:style w:type="paragraph" w:styleId="Textonotapie">
    <w:name w:val="footnote text"/>
    <w:aliases w:val="Car, Car,Car Car Car, Car4,Texto nota pie1,Body Text,Car4, Car2 Car Car Car Car Car, Car2 Car, Car2, Car1 Car,Car1 Car, Car2 Car1 Car,Car2 Car Car Car Car Car,Car2 Car Car,Car2 Car Car Car Car Car Car, Car1, Car Car Car"/>
    <w:basedOn w:val="Normal"/>
    <w:link w:val="TextonotapieCar"/>
    <w:rsid w:val="00E13E6B"/>
    <w:rPr>
      <w:sz w:val="20"/>
      <w:szCs w:val="20"/>
    </w:rPr>
  </w:style>
  <w:style w:type="character" w:customStyle="1" w:styleId="TextonotapieCar">
    <w:name w:val="Texto nota pie Car"/>
    <w:aliases w:val="Car Car, Car Car,Car Car Car Car, Car4 Car,Texto nota pie1 Car,Body Text Car,Car4 Car, Car2 Car Car Car Car Car Car, Car2 Car Car, Car2 Car1, Car1 Car Car,Car1 Car Car, Car2 Car1 Car Car,Car2 Car Car Car Car Car Car1,Car2 Car Car Car"/>
    <w:basedOn w:val="Fuentedeprrafopredeter"/>
    <w:link w:val="Textonotapie"/>
    <w:rsid w:val="00E13E6B"/>
    <w:rPr>
      <w:rFonts w:ascii="Times New Roman" w:eastAsia="Calibri" w:hAnsi="Times New Roman" w:cs="Times New Roman"/>
      <w:sz w:val="20"/>
      <w:szCs w:val="20"/>
      <w:lang w:eastAsia="es-ES"/>
    </w:rPr>
  </w:style>
  <w:style w:type="character" w:styleId="Refdenotaalpie">
    <w:name w:val="footnote reference"/>
    <w:basedOn w:val="Fuentedeprrafopredeter"/>
    <w:rsid w:val="00E13E6B"/>
    <w:rPr>
      <w:rFonts w:cs="Times New Roman"/>
      <w:vertAlign w:val="superscript"/>
    </w:rPr>
  </w:style>
  <w:style w:type="paragraph" w:styleId="Prrafodelista">
    <w:name w:val="List Paragraph"/>
    <w:basedOn w:val="Normal"/>
    <w:uiPriority w:val="99"/>
    <w:qFormat/>
    <w:rsid w:val="00E13E6B"/>
    <w:pPr>
      <w:ind w:left="720"/>
      <w:contextualSpacing/>
    </w:pPr>
    <w:rPr>
      <w:rFonts w:eastAsia="Times New Roman"/>
      <w:sz w:val="20"/>
      <w:szCs w:val="20"/>
      <w:lang w:eastAsia="es-PE"/>
    </w:rPr>
  </w:style>
  <w:style w:type="paragraph" w:styleId="Sangradetextonormal">
    <w:name w:val="Body Text Indent"/>
    <w:basedOn w:val="Normal"/>
    <w:link w:val="SangradetextonormalCar"/>
    <w:unhideWhenUsed/>
    <w:rsid w:val="00E13E6B"/>
    <w:pPr>
      <w:spacing w:after="120"/>
      <w:ind w:left="283"/>
    </w:pPr>
    <w:rPr>
      <w:rFonts w:eastAsia="Times New Roman"/>
    </w:rPr>
  </w:style>
  <w:style w:type="character" w:customStyle="1" w:styleId="SangradetextonormalCar">
    <w:name w:val="Sangría de texto normal Car"/>
    <w:basedOn w:val="Fuentedeprrafopredeter"/>
    <w:link w:val="Sangradetextonormal"/>
    <w:rsid w:val="00E13E6B"/>
    <w:rPr>
      <w:rFonts w:ascii="Times New Roman" w:eastAsia="Times New Roman" w:hAnsi="Times New Roman" w:cs="Times New Roman"/>
      <w:sz w:val="24"/>
      <w:szCs w:val="24"/>
      <w:lang w:eastAsia="es-ES"/>
    </w:rPr>
  </w:style>
  <w:style w:type="paragraph" w:styleId="Textoindependiente2">
    <w:name w:val="Body Text 2"/>
    <w:basedOn w:val="Normal"/>
    <w:link w:val="Textoindependiente2Car"/>
    <w:uiPriority w:val="99"/>
    <w:semiHidden/>
    <w:unhideWhenUsed/>
    <w:rsid w:val="00E13E6B"/>
    <w:pPr>
      <w:spacing w:after="120" w:line="480" w:lineRule="auto"/>
    </w:pPr>
  </w:style>
  <w:style w:type="character" w:customStyle="1" w:styleId="Textoindependiente2Car">
    <w:name w:val="Texto independiente 2 Car"/>
    <w:basedOn w:val="Fuentedeprrafopredeter"/>
    <w:link w:val="Textoindependiente2"/>
    <w:uiPriority w:val="99"/>
    <w:semiHidden/>
    <w:rsid w:val="00E13E6B"/>
    <w:rPr>
      <w:rFonts w:ascii="Times New Roman" w:eastAsia="Calibri" w:hAnsi="Times New Roman" w:cs="Times New Roman"/>
      <w:sz w:val="24"/>
      <w:szCs w:val="24"/>
      <w:lang w:eastAsia="es-ES"/>
    </w:rPr>
  </w:style>
  <w:style w:type="paragraph" w:styleId="Sinespaciado">
    <w:name w:val="No Spacing"/>
    <w:uiPriority w:val="1"/>
    <w:qFormat/>
    <w:rsid w:val="00F77525"/>
    <w:pPr>
      <w:spacing w:after="0" w:line="240" w:lineRule="auto"/>
    </w:pPr>
    <w:rPr>
      <w:rFonts w:ascii="Calibri" w:eastAsia="Times New Roman" w:hAnsi="Calibri" w:cs="Times New Roman"/>
      <w:lang w:eastAsia="es-ES"/>
    </w:rPr>
  </w:style>
  <w:style w:type="paragraph" w:styleId="HTMLconformatoprevio">
    <w:name w:val="HTML Preformatted"/>
    <w:basedOn w:val="Normal"/>
    <w:link w:val="HTMLconformatoprevioCar"/>
    <w:unhideWhenUsed/>
    <w:rsid w:val="00552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20"/>
      <w:szCs w:val="20"/>
    </w:rPr>
  </w:style>
  <w:style w:type="character" w:customStyle="1" w:styleId="HTMLconformatoprevioCar">
    <w:name w:val="HTML con formato previo Car"/>
    <w:basedOn w:val="Fuentedeprrafopredeter"/>
    <w:link w:val="HTMLconformatoprevio"/>
    <w:rsid w:val="005521E5"/>
    <w:rPr>
      <w:rFonts w:ascii="Courier New" w:eastAsia="Times New Roman" w:hAnsi="Courier New" w:cs="Courier New"/>
      <w:color w:val="000000"/>
      <w:sz w:val="20"/>
      <w:szCs w:val="20"/>
      <w:lang w:eastAsia="es-ES"/>
    </w:rPr>
  </w:style>
  <w:style w:type="table" w:styleId="Tablaconcuadrcula">
    <w:name w:val="Table Grid"/>
    <w:basedOn w:val="Tablanormal"/>
    <w:rsid w:val="00766749"/>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EC4953"/>
    <w:rPr>
      <w:rFonts w:asciiTheme="majorHAnsi" w:eastAsiaTheme="majorEastAsia" w:hAnsiTheme="majorHAnsi" w:cstheme="majorBidi"/>
      <w:b/>
      <w:bCs/>
      <w:color w:val="365F91" w:themeColor="accent1" w:themeShade="BF"/>
      <w:sz w:val="28"/>
      <w:szCs w:val="28"/>
      <w:lang w:eastAsia="es-ES"/>
    </w:rPr>
  </w:style>
  <w:style w:type="character" w:customStyle="1" w:styleId="Ttulo2Car">
    <w:name w:val="Título 2 Car"/>
    <w:basedOn w:val="Fuentedeprrafopredeter"/>
    <w:link w:val="Ttulo2"/>
    <w:uiPriority w:val="9"/>
    <w:rsid w:val="00EC4953"/>
    <w:rPr>
      <w:rFonts w:asciiTheme="majorHAnsi" w:eastAsiaTheme="majorEastAsia" w:hAnsiTheme="majorHAnsi" w:cstheme="majorBidi"/>
      <w:b/>
      <w:bCs/>
      <w:color w:val="4F81BD" w:themeColor="accent1"/>
      <w:sz w:val="26"/>
      <w:szCs w:val="26"/>
      <w:lang w:eastAsia="es-ES"/>
    </w:rPr>
  </w:style>
  <w:style w:type="paragraph" w:styleId="Lista">
    <w:name w:val="List"/>
    <w:basedOn w:val="Normal"/>
    <w:uiPriority w:val="99"/>
    <w:unhideWhenUsed/>
    <w:rsid w:val="00EC4953"/>
    <w:pPr>
      <w:ind w:left="283" w:hanging="283"/>
      <w:contextualSpacing/>
    </w:pPr>
  </w:style>
  <w:style w:type="paragraph" w:styleId="Lista2">
    <w:name w:val="List 2"/>
    <w:basedOn w:val="Normal"/>
    <w:uiPriority w:val="99"/>
    <w:unhideWhenUsed/>
    <w:rsid w:val="00EC4953"/>
    <w:pPr>
      <w:ind w:left="566" w:hanging="283"/>
      <w:contextualSpacing/>
    </w:pPr>
  </w:style>
  <w:style w:type="paragraph" w:styleId="Textoindependienteprimerasangra">
    <w:name w:val="Body Text First Indent"/>
    <w:basedOn w:val="Textoindependiente"/>
    <w:link w:val="TextoindependienteprimerasangraCar"/>
    <w:uiPriority w:val="99"/>
    <w:unhideWhenUsed/>
    <w:rsid w:val="00EC4953"/>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EC4953"/>
  </w:style>
  <w:style w:type="paragraph" w:styleId="Textoindependienteprimerasangra2">
    <w:name w:val="Body Text First Indent 2"/>
    <w:basedOn w:val="Sangradetextonormal"/>
    <w:link w:val="Textoindependienteprimerasangra2Car"/>
    <w:uiPriority w:val="99"/>
    <w:unhideWhenUsed/>
    <w:rsid w:val="00EC4953"/>
    <w:pPr>
      <w:spacing w:after="0"/>
      <w:ind w:left="360" w:firstLine="360"/>
    </w:pPr>
    <w:rPr>
      <w:rFonts w:eastAsia="Calibri"/>
    </w:rPr>
  </w:style>
  <w:style w:type="character" w:customStyle="1" w:styleId="Textoindependienteprimerasangra2Car">
    <w:name w:val="Texto independiente primera sangría 2 Car"/>
    <w:basedOn w:val="SangradetextonormalCar"/>
    <w:link w:val="Textoindependienteprimerasangra2"/>
    <w:uiPriority w:val="99"/>
    <w:rsid w:val="00EC4953"/>
    <w:rPr>
      <w:rFonts w:eastAsia="Calibri"/>
    </w:rPr>
  </w:style>
  <w:style w:type="paragraph" w:styleId="Encabezado">
    <w:name w:val="header"/>
    <w:aliases w:val="maria,h"/>
    <w:basedOn w:val="Normal"/>
    <w:link w:val="EncabezadoCar"/>
    <w:uiPriority w:val="99"/>
    <w:semiHidden/>
    <w:unhideWhenUsed/>
    <w:rsid w:val="00DB3E05"/>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DB3E05"/>
    <w:rPr>
      <w:rFonts w:ascii="Times New Roman" w:eastAsia="Calibri"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76619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9</Pages>
  <Words>3779</Words>
  <Characters>20789</Characters>
  <Application>Microsoft Office Word</Application>
  <DocSecurity>0</DocSecurity>
  <Lines>173</Lines>
  <Paragraphs>49</Paragraphs>
  <ScaleCrop>false</ScaleCrop>
  <Company/>
  <LinksUpToDate>false</LinksUpToDate>
  <CharactersWithSpaces>24519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c:creator>
  <cp:keywords/>
  <dc:description/>
  <cp:lastModifiedBy>bcaceres</cp:lastModifiedBy>
  <cp:revision>111</cp:revision>
  <cp:lastPrinted>2011-03-17T14:25:00Z</cp:lastPrinted>
  <dcterms:created xsi:type="dcterms:W3CDTF">2010-04-16T12:41:00Z</dcterms:created>
  <dcterms:modified xsi:type="dcterms:W3CDTF">2011-04-06T16:35:00Z</dcterms:modified>
</cp:coreProperties>
</file>